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362" w:rsidRDefault="00AA70C2">
      <w:bookmarkStart w:id="0" w:name="_GoBack"/>
      <w:bookmarkEnd w:id="0"/>
      <w:r>
        <w:rPr>
          <w:rFonts w:eastAsia="Times New Roman"/>
          <w:noProof/>
          <w:lang w:val="en-US"/>
        </w:rPr>
        <w:drawing>
          <wp:inline distT="0" distB="0" distL="0" distR="0" wp14:anchorId="6E352B29" wp14:editId="08C5C885">
            <wp:extent cx="5391150" cy="246697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A53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0C2"/>
    <w:rsid w:val="007A5362"/>
    <w:rsid w:val="00AA70C2"/>
    <w:rsid w:val="00B53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7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0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70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0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Oficina Española de Patentes y Marcas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OEPM</dc:creator>
  <cp:lastModifiedBy>BHUNNOO Dawood</cp:lastModifiedBy>
  <cp:revision>1</cp:revision>
  <dcterms:created xsi:type="dcterms:W3CDTF">2015-03-31T11:44:00Z</dcterms:created>
  <dcterms:modified xsi:type="dcterms:W3CDTF">2015-11-25T15:46:00Z</dcterms:modified>
</cp:coreProperties>
</file>