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7FC8" w:rsidRDefault="00A85905">
      <w:bookmarkStart w:id="0" w:name="_GoBack"/>
      <w:bookmarkEnd w:id="0"/>
      <w:r>
        <w:rPr>
          <w:i/>
          <w:noProof/>
          <w:color w:val="000000"/>
          <w:lang w:val="en-US"/>
        </w:rPr>
        <w:drawing>
          <wp:inline distT="0" distB="0" distL="0" distR="0">
            <wp:extent cx="5495036" cy="3439668"/>
            <wp:effectExtent l="12192" t="6096" r="4572" b="2286"/>
            <wp:docPr id="1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A85905" w:rsidRDefault="00A85905">
      <w:r>
        <w:rPr>
          <w:i/>
          <w:noProof/>
          <w:color w:val="000000"/>
          <w:lang w:val="en-US"/>
        </w:rPr>
        <w:drawing>
          <wp:inline distT="0" distB="0" distL="0" distR="0">
            <wp:extent cx="5486658" cy="3431801"/>
            <wp:effectExtent l="12189" t="6089" r="5333" b="0"/>
            <wp:docPr id="4" name="Graf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8B6BDF" w:rsidRDefault="008B6BDF">
      <w:r w:rsidRPr="008B6BDF">
        <w:rPr>
          <w:noProof/>
          <w:lang w:val="en-US"/>
        </w:rPr>
        <w:lastRenderedPageBreak/>
        <w:drawing>
          <wp:inline distT="0" distB="0" distL="0" distR="0">
            <wp:extent cx="5706999" cy="4042791"/>
            <wp:effectExtent l="12192" t="6096" r="14859" b="8763"/>
            <wp:docPr id="2" name="Graf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8B6BDF" w:rsidRDefault="008B6BDF"/>
    <w:p w:rsidR="008B6BDF" w:rsidRDefault="008B6BDF">
      <w:r>
        <w:rPr>
          <w:noProof/>
          <w:color w:val="000000"/>
          <w:lang w:val="en-US"/>
        </w:rPr>
        <w:drawing>
          <wp:inline distT="0" distB="0" distL="0" distR="0">
            <wp:extent cx="5736719" cy="3781175"/>
            <wp:effectExtent l="12192" t="6096" r="10539" b="3679"/>
            <wp:docPr id="13" name="Graf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8B6BDF" w:rsidRDefault="008B6BDF"/>
    <w:p w:rsidR="008B6BDF" w:rsidRDefault="008B6BDF">
      <w:r>
        <w:rPr>
          <w:noProof/>
          <w:color w:val="000000"/>
          <w:lang w:val="en-US"/>
        </w:rPr>
        <w:lastRenderedPageBreak/>
        <w:drawing>
          <wp:inline distT="0" distB="0" distL="0" distR="0">
            <wp:extent cx="5736719" cy="3819455"/>
            <wp:effectExtent l="12192" t="6096" r="10539" b="3499"/>
            <wp:docPr id="10" name="Graf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8B6BDF" w:rsidRDefault="008B6BDF">
      <w:r w:rsidRPr="008B6BDF">
        <w:rPr>
          <w:noProof/>
          <w:lang w:val="en-US"/>
        </w:rPr>
        <w:drawing>
          <wp:inline distT="0" distB="0" distL="0" distR="0">
            <wp:extent cx="3754182" cy="3556254"/>
            <wp:effectExtent l="11812" t="6096" r="5906" b="0"/>
            <wp:docPr id="3" name="Graf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8B6BDF" w:rsidRDefault="008B6BDF">
      <w:r>
        <w:rPr>
          <w:i/>
          <w:noProof/>
          <w:color w:val="000000"/>
          <w:lang w:val="en-US"/>
        </w:rPr>
        <w:lastRenderedPageBreak/>
        <w:drawing>
          <wp:inline distT="0" distB="0" distL="0" distR="0">
            <wp:extent cx="3933317" cy="4055618"/>
            <wp:effectExtent l="12192" t="6096" r="4191" b="2286"/>
            <wp:docPr id="7" name="Graf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8B6BDF" w:rsidRDefault="008B6BDF"/>
    <w:p w:rsidR="008B6BDF" w:rsidRDefault="008B6BDF"/>
    <w:sectPr w:rsidR="008B6BDF" w:rsidSect="00837F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85905"/>
    <w:rsid w:val="00837FC8"/>
    <w:rsid w:val="008B6BDF"/>
    <w:rsid w:val="00922488"/>
    <w:rsid w:val="00A85905"/>
    <w:rsid w:val="00D77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FC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859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59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3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chart" Target="charts/chart2.xml"/><Relationship Id="rId12" Type="http://schemas.openxmlformats.org/officeDocument/2006/relationships/chart" Target="charts/chart7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11" Type="http://schemas.openxmlformats.org/officeDocument/2006/relationships/chart" Target="charts/chart6.xml"/><Relationship Id="rId5" Type="http://schemas.openxmlformats.org/officeDocument/2006/relationships/webSettings" Target="webSettings.xml"/><Relationship Id="rId10" Type="http://schemas.openxmlformats.org/officeDocument/2006/relationships/chart" Target="charts/chart5.xml"/><Relationship Id="rId4" Type="http://schemas.openxmlformats.org/officeDocument/2006/relationships/settings" Target="settings.xml"/><Relationship Id="rId9" Type="http://schemas.openxmlformats.org/officeDocument/2006/relationships/chart" Target="charts/chart4.xml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P:\WIPO_SCIT_reports\2013\OI_Work\grafy_2013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P:\WIPO_SCIT_reports\2013\OI_Work\grafy_2013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P:\WIPO_SCIT_reports\2013\OI_Work\grafy_2013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P:\WIPO_SCIT_reports\2013\OI_Work\grafy_2013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P:\WIPO_SCIT_reports\2013\OI_Work\grafy_2013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P:\WIPO_SCIT_reports\2013\OI_Work\grafy_2013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P:\WIPO_SCIT_reports\2013\OI_Work\grafy_2013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6"/>
    </mc:Choice>
    <mc:Fallback>
      <c:style val="26"/>
    </mc:Fallback>
  </mc:AlternateContent>
  <c:chart>
    <c:title>
      <c:tx>
        <c:rich>
          <a:bodyPr/>
          <a:lstStyle/>
          <a:p>
            <a:pPr>
              <a:defRPr sz="1200"/>
            </a:pPr>
            <a:r>
              <a:rPr lang="sk-SK" sz="1200"/>
              <a:t>Patent Applications
Patentové prihlášky</a:t>
            </a:r>
          </a:p>
        </c:rich>
      </c:tx>
      <c:layout>
        <c:manualLayout>
          <c:xMode val="edge"/>
          <c:yMode val="edge"/>
          <c:x val="1.499640322737438E-2"/>
          <c:y val="1.7647058823529422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29025844930417538"/>
          <c:y val="0.16764729958539251"/>
          <c:w val="0.68190854870775142"/>
          <c:h val="0.49117717597825344"/>
        </c:manualLayout>
      </c:layout>
      <c:barChart>
        <c:barDir val="col"/>
        <c:grouping val="clustered"/>
        <c:varyColors val="0"/>
        <c:ser>
          <c:idx val="1"/>
          <c:order val="0"/>
          <c:tx>
            <c:strRef>
              <c:f>'1 '!$A$5</c:f>
              <c:strCache>
                <c:ptCount val="1"/>
                <c:pt idx="0">
                  <c:v>Domáce/Domestic</c:v>
                </c:pt>
              </c:strCache>
            </c:strRef>
          </c:tx>
          <c:invertIfNegative val="0"/>
          <c:cat>
            <c:numRef>
              <c:f>'1 '!$B$4:$J$4</c:f>
              <c:numCache>
                <c:formatCode>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</c:numCache>
            </c:numRef>
          </c:cat>
          <c:val>
            <c:numRef>
              <c:f>'1 '!$B$5:$J$5</c:f>
              <c:numCache>
                <c:formatCode>#,##0</c:formatCode>
                <c:ptCount val="9"/>
                <c:pt idx="0">
                  <c:v>155</c:v>
                </c:pt>
                <c:pt idx="1">
                  <c:v>193</c:v>
                </c:pt>
                <c:pt idx="2">
                  <c:v>240</c:v>
                </c:pt>
                <c:pt idx="3">
                  <c:v>167</c:v>
                </c:pt>
                <c:pt idx="4">
                  <c:v>176</c:v>
                </c:pt>
                <c:pt idx="5">
                  <c:v>235</c:v>
                </c:pt>
                <c:pt idx="6">
                  <c:v>223</c:v>
                </c:pt>
                <c:pt idx="7">
                  <c:v>168</c:v>
                </c:pt>
                <c:pt idx="8">
                  <c:v>184</c:v>
                </c:pt>
              </c:numCache>
            </c:numRef>
          </c:val>
        </c:ser>
        <c:ser>
          <c:idx val="2"/>
          <c:order val="1"/>
          <c:tx>
            <c:strRef>
              <c:f>'1 '!$A$6</c:f>
              <c:strCache>
                <c:ptCount val="1"/>
                <c:pt idx="0">
                  <c:v>Zahraničné/Foreign</c:v>
                </c:pt>
              </c:strCache>
            </c:strRef>
          </c:tx>
          <c:invertIfNegative val="0"/>
          <c:cat>
            <c:numRef>
              <c:f>'1 '!$B$4:$J$4</c:f>
              <c:numCache>
                <c:formatCode>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</c:numCache>
            </c:numRef>
          </c:cat>
          <c:val>
            <c:numRef>
              <c:f>'1 '!$B$6:$J$6</c:f>
              <c:numCache>
                <c:formatCode>#,##0</c:formatCode>
                <c:ptCount val="9"/>
                <c:pt idx="0">
                  <c:v>95</c:v>
                </c:pt>
                <c:pt idx="1">
                  <c:v>90</c:v>
                </c:pt>
                <c:pt idx="2">
                  <c:v>106</c:v>
                </c:pt>
                <c:pt idx="3">
                  <c:v>75</c:v>
                </c:pt>
                <c:pt idx="4">
                  <c:v>63</c:v>
                </c:pt>
                <c:pt idx="5">
                  <c:v>47</c:v>
                </c:pt>
                <c:pt idx="6">
                  <c:v>33</c:v>
                </c:pt>
                <c:pt idx="7">
                  <c:v>35</c:v>
                </c:pt>
                <c:pt idx="8">
                  <c:v>26</c:v>
                </c:pt>
              </c:numCache>
            </c:numRef>
          </c:val>
        </c:ser>
        <c:ser>
          <c:idx val="3"/>
          <c:order val="2"/>
          <c:tx>
            <c:strRef>
              <c:f>'1 '!$A$7</c:f>
              <c:strCache>
                <c:ptCount val="1"/>
                <c:pt idx="0">
                  <c:v>z toho PCT/thereof PCT</c:v>
                </c:pt>
              </c:strCache>
            </c:strRef>
          </c:tx>
          <c:invertIfNegative val="0"/>
          <c:cat>
            <c:numRef>
              <c:f>'1 '!$B$4:$J$4</c:f>
              <c:numCache>
                <c:formatCode>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</c:numCache>
            </c:numRef>
          </c:cat>
          <c:val>
            <c:numRef>
              <c:f>'1 '!$B$7:$J$7</c:f>
              <c:numCache>
                <c:formatCode>#,##0</c:formatCode>
                <c:ptCount val="9"/>
                <c:pt idx="0">
                  <c:v>56</c:v>
                </c:pt>
                <c:pt idx="1">
                  <c:v>58</c:v>
                </c:pt>
                <c:pt idx="2">
                  <c:v>69</c:v>
                </c:pt>
                <c:pt idx="3">
                  <c:v>36</c:v>
                </c:pt>
                <c:pt idx="4">
                  <c:v>45</c:v>
                </c:pt>
                <c:pt idx="5">
                  <c:v>35</c:v>
                </c:pt>
                <c:pt idx="6">
                  <c:v>18</c:v>
                </c:pt>
                <c:pt idx="7">
                  <c:v>14</c:v>
                </c:pt>
                <c:pt idx="8">
                  <c:v>9</c:v>
                </c:pt>
              </c:numCache>
            </c:numRef>
          </c:val>
        </c:ser>
        <c:ser>
          <c:idx val="0"/>
          <c:order val="3"/>
          <c:tx>
            <c:strRef>
              <c:f>'1 '!$A$8</c:f>
              <c:strCache>
                <c:ptCount val="1"/>
                <c:pt idx="0">
                  <c:v>Prihlášky patentov / Patent Applications</c:v>
                </c:pt>
              </c:strCache>
            </c:strRef>
          </c:tx>
          <c:invertIfNegative val="0"/>
          <c:cat>
            <c:numRef>
              <c:f>'1 '!$B$4:$J$4</c:f>
              <c:numCache>
                <c:formatCode>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</c:numCache>
            </c:numRef>
          </c:cat>
          <c:val>
            <c:numRef>
              <c:f>'1 '!$B$8:$J$8</c:f>
              <c:numCache>
                <c:formatCode>#,##0</c:formatCode>
                <c:ptCount val="9"/>
                <c:pt idx="0">
                  <c:v>250</c:v>
                </c:pt>
                <c:pt idx="1">
                  <c:v>283</c:v>
                </c:pt>
                <c:pt idx="2">
                  <c:v>346</c:v>
                </c:pt>
                <c:pt idx="3">
                  <c:v>242</c:v>
                </c:pt>
                <c:pt idx="4">
                  <c:v>239</c:v>
                </c:pt>
                <c:pt idx="5">
                  <c:v>282</c:v>
                </c:pt>
                <c:pt idx="6">
                  <c:v>256</c:v>
                </c:pt>
                <c:pt idx="7">
                  <c:v>203</c:v>
                </c:pt>
                <c:pt idx="8">
                  <c:v>210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2319488"/>
        <c:axId val="22321024"/>
      </c:barChart>
      <c:catAx>
        <c:axId val="22319488"/>
        <c:scaling>
          <c:orientation val="minMax"/>
        </c:scaling>
        <c:delete val="0"/>
        <c:axPos val="b"/>
        <c:numFmt formatCode="0" sourceLinked="1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22321024"/>
        <c:crosses val="autoZero"/>
        <c:auto val="1"/>
        <c:lblAlgn val="ctr"/>
        <c:lblOffset val="100"/>
        <c:tickMarkSkip val="1"/>
        <c:noMultiLvlLbl val="0"/>
      </c:catAx>
      <c:valAx>
        <c:axId val="22321024"/>
        <c:scaling>
          <c:orientation val="minMax"/>
          <c:max val="350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22319488"/>
        <c:crosses val="autoZero"/>
        <c:crossBetween val="between"/>
        <c:majorUnit val="50"/>
      </c:valAx>
      <c:dTable>
        <c:showHorzBorder val="1"/>
        <c:showVertBorder val="1"/>
        <c:showOutline val="1"/>
        <c:showKeys val="1"/>
      </c:dTable>
    </c:plotArea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6"/>
    </mc:Choice>
    <mc:Fallback>
      <c:style val="26"/>
    </mc:Fallback>
  </mc:AlternateContent>
  <c:chart>
    <c:title>
      <c:tx>
        <c:rich>
          <a:bodyPr/>
          <a:lstStyle/>
          <a:p>
            <a:pPr>
              <a:defRPr sz="1200"/>
            </a:pPr>
            <a:r>
              <a:rPr lang="sk-SK" sz="1200"/>
              <a:t>Granted Patents
Udelené patenty</a:t>
            </a:r>
          </a:p>
        </c:rich>
      </c:tx>
      <c:layout>
        <c:manualLayout>
          <c:xMode val="edge"/>
          <c:yMode val="edge"/>
          <c:x val="1.2115412656751218E-2"/>
          <c:y val="1.9135905259814921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28910919042890471"/>
          <c:y val="0.20679074674101441"/>
          <c:w val="0.68316897738337312"/>
          <c:h val="0.43518649687288308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'1 '!$A$10</c:f>
              <c:strCache>
                <c:ptCount val="1"/>
                <c:pt idx="0">
                  <c:v>Domáce/Domestic</c:v>
                </c:pt>
              </c:strCache>
            </c:strRef>
          </c:tx>
          <c:spPr>
            <a:solidFill>
              <a:srgbClr val="CC0000"/>
            </a:solidFill>
          </c:spPr>
          <c:invertIfNegative val="0"/>
          <c:cat>
            <c:numRef>
              <c:f>'1 '!$B$4:$J$4</c:f>
              <c:numCache>
                <c:formatCode>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</c:numCache>
            </c:numRef>
          </c:cat>
          <c:val>
            <c:numRef>
              <c:f>'1 '!$B$10:$J$10</c:f>
              <c:numCache>
                <c:formatCode>#,##0</c:formatCode>
                <c:ptCount val="9"/>
                <c:pt idx="0">
                  <c:v>52</c:v>
                </c:pt>
                <c:pt idx="1">
                  <c:v>72</c:v>
                </c:pt>
                <c:pt idx="2">
                  <c:v>89</c:v>
                </c:pt>
                <c:pt idx="3">
                  <c:v>89</c:v>
                </c:pt>
                <c:pt idx="4">
                  <c:v>66</c:v>
                </c:pt>
                <c:pt idx="5">
                  <c:v>57</c:v>
                </c:pt>
                <c:pt idx="6">
                  <c:v>50</c:v>
                </c:pt>
                <c:pt idx="7">
                  <c:v>43</c:v>
                </c:pt>
                <c:pt idx="8">
                  <c:v>39</c:v>
                </c:pt>
              </c:numCache>
            </c:numRef>
          </c:val>
        </c:ser>
        <c:ser>
          <c:idx val="1"/>
          <c:order val="1"/>
          <c:tx>
            <c:strRef>
              <c:f>'1 '!$A$11</c:f>
              <c:strCache>
                <c:ptCount val="1"/>
                <c:pt idx="0">
                  <c:v>Zahraničné/Foreign</c:v>
                </c:pt>
              </c:strCache>
            </c:strRef>
          </c:tx>
          <c:spPr>
            <a:solidFill>
              <a:srgbClr val="62933D"/>
            </a:solidFill>
          </c:spPr>
          <c:invertIfNegative val="0"/>
          <c:cat>
            <c:numRef>
              <c:f>'1 '!$B$4:$J$4</c:f>
              <c:numCache>
                <c:formatCode>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</c:numCache>
            </c:numRef>
          </c:cat>
          <c:val>
            <c:numRef>
              <c:f>'1 '!$B$11:$J$11</c:f>
              <c:numCache>
                <c:formatCode>#,##0</c:formatCode>
                <c:ptCount val="9"/>
                <c:pt idx="0">
                  <c:v>508</c:v>
                </c:pt>
                <c:pt idx="1">
                  <c:v>471</c:v>
                </c:pt>
                <c:pt idx="2">
                  <c:v>485</c:v>
                </c:pt>
                <c:pt idx="3">
                  <c:v>477</c:v>
                </c:pt>
                <c:pt idx="4">
                  <c:v>488</c:v>
                </c:pt>
                <c:pt idx="5">
                  <c:v>319</c:v>
                </c:pt>
                <c:pt idx="6">
                  <c:v>267</c:v>
                </c:pt>
                <c:pt idx="7">
                  <c:v>118</c:v>
                </c:pt>
                <c:pt idx="8">
                  <c:v>76</c:v>
                </c:pt>
              </c:numCache>
            </c:numRef>
          </c:val>
        </c:ser>
        <c:ser>
          <c:idx val="2"/>
          <c:order val="2"/>
          <c:tx>
            <c:strRef>
              <c:f>'1 '!$A$12</c:f>
              <c:strCache>
                <c:ptCount val="1"/>
                <c:pt idx="0">
                  <c:v>z toho PCT/thereof PCT</c:v>
                </c:pt>
              </c:strCache>
            </c:strRef>
          </c:tx>
          <c:spPr>
            <a:solidFill>
              <a:srgbClr val="8F45C7"/>
            </a:solidFill>
          </c:spPr>
          <c:invertIfNegative val="0"/>
          <c:cat>
            <c:numRef>
              <c:f>'1 '!$B$4:$J$4</c:f>
              <c:numCache>
                <c:formatCode>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</c:numCache>
            </c:numRef>
          </c:cat>
          <c:val>
            <c:numRef>
              <c:f>'1 '!$B$12:$J$12</c:f>
              <c:numCache>
                <c:formatCode>#,##0</c:formatCode>
                <c:ptCount val="9"/>
                <c:pt idx="0">
                  <c:v>387</c:v>
                </c:pt>
                <c:pt idx="1">
                  <c:v>373</c:v>
                </c:pt>
                <c:pt idx="2">
                  <c:v>421</c:v>
                </c:pt>
                <c:pt idx="3">
                  <c:v>419</c:v>
                </c:pt>
                <c:pt idx="4">
                  <c:v>448</c:v>
                </c:pt>
                <c:pt idx="5">
                  <c:v>288</c:v>
                </c:pt>
                <c:pt idx="6">
                  <c:v>244</c:v>
                </c:pt>
                <c:pt idx="7">
                  <c:v>96</c:v>
                </c:pt>
                <c:pt idx="8">
                  <c:v>63</c:v>
                </c:pt>
              </c:numCache>
            </c:numRef>
          </c:val>
        </c:ser>
        <c:ser>
          <c:idx val="3"/>
          <c:order val="3"/>
          <c:tx>
            <c:strRef>
              <c:f>'1 '!$A$13</c:f>
              <c:strCache>
                <c:ptCount val="1"/>
                <c:pt idx="0">
                  <c:v>Udelené patenty / Granted Patents </c:v>
                </c:pt>
              </c:strCache>
            </c:strRef>
          </c:tx>
          <c:spPr>
            <a:solidFill>
              <a:schemeClr val="tx2">
                <a:lumMod val="60000"/>
                <a:lumOff val="40000"/>
              </a:schemeClr>
            </a:solidFill>
          </c:spPr>
          <c:invertIfNegative val="0"/>
          <c:cat>
            <c:numRef>
              <c:f>'1 '!$B$4:$J$4</c:f>
              <c:numCache>
                <c:formatCode>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</c:numCache>
            </c:numRef>
          </c:cat>
          <c:val>
            <c:numRef>
              <c:f>'1 '!$B$13:$J$13</c:f>
              <c:numCache>
                <c:formatCode>#,##0</c:formatCode>
                <c:ptCount val="9"/>
                <c:pt idx="0">
                  <c:v>560</c:v>
                </c:pt>
                <c:pt idx="1">
                  <c:v>543</c:v>
                </c:pt>
                <c:pt idx="2">
                  <c:v>574</c:v>
                </c:pt>
                <c:pt idx="3">
                  <c:v>566</c:v>
                </c:pt>
                <c:pt idx="4">
                  <c:v>554</c:v>
                </c:pt>
                <c:pt idx="5">
                  <c:v>376</c:v>
                </c:pt>
                <c:pt idx="6">
                  <c:v>317</c:v>
                </c:pt>
                <c:pt idx="7">
                  <c:v>161</c:v>
                </c:pt>
                <c:pt idx="8" formatCode="General">
                  <c:v>115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2345600"/>
        <c:axId val="22347136"/>
      </c:barChart>
      <c:catAx>
        <c:axId val="22345600"/>
        <c:scaling>
          <c:orientation val="minMax"/>
        </c:scaling>
        <c:delete val="0"/>
        <c:axPos val="b"/>
        <c:numFmt formatCode="0" sourceLinked="1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22347136"/>
        <c:crosses val="autoZero"/>
        <c:auto val="1"/>
        <c:lblAlgn val="ctr"/>
        <c:lblOffset val="100"/>
        <c:tickMarkSkip val="1"/>
        <c:noMultiLvlLbl val="0"/>
      </c:catAx>
      <c:valAx>
        <c:axId val="22347136"/>
        <c:scaling>
          <c:orientation val="minMax"/>
          <c:max val="600"/>
          <c:min val="0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22345600"/>
        <c:crosses val="autoZero"/>
        <c:crossBetween val="between"/>
        <c:minorUnit val="40"/>
      </c:valAx>
      <c:dTable>
        <c:showHorzBorder val="1"/>
        <c:showVertBorder val="1"/>
        <c:showOutline val="1"/>
        <c:showKeys val="1"/>
      </c:dTable>
    </c:plotArea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30"/>
    </mc:Choice>
    <mc:Fallback>
      <c:style val="30"/>
    </mc:Fallback>
  </mc:AlternateContent>
  <c:chart>
    <c:title>
      <c:tx>
        <c:rich>
          <a:bodyPr/>
          <a:lstStyle/>
          <a:p>
            <a:pPr>
              <a:defRPr sz="1100"/>
            </a:pPr>
            <a:r>
              <a:rPr lang="sk-SK" sz="1200"/>
              <a:t>Translations of the European Patent Specifications published </a:t>
            </a:r>
          </a:p>
          <a:p>
            <a:pPr>
              <a:defRPr sz="1100"/>
            </a:pPr>
            <a:r>
              <a:rPr lang="sk-SK" sz="1200"/>
              <a:t>in Slovak Republic</a:t>
            </a:r>
          </a:p>
          <a:p>
            <a:pPr>
              <a:defRPr sz="1100"/>
            </a:pPr>
            <a:r>
              <a:rPr lang="sk-SK" sz="1200" b="0"/>
              <a:t>Sprístupnené preklady európskych patentových spisov v SR</a:t>
            </a:r>
          </a:p>
        </c:rich>
      </c:tx>
      <c:layout>
        <c:manualLayout>
          <c:xMode val="edge"/>
          <c:yMode val="edge"/>
          <c:x val="0.17529215358931663"/>
          <c:y val="3.0660412667227892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9.1819699499165186E-2"/>
          <c:y val="0.16981151631080058"/>
          <c:w val="0.88480801335559855"/>
          <c:h val="0.7264159308850916"/>
        </c:manualLayout>
      </c:layout>
      <c:barChart>
        <c:barDir val="col"/>
        <c:grouping val="clustered"/>
        <c:varyColors val="0"/>
        <c:ser>
          <c:idx val="1"/>
          <c:order val="0"/>
          <c:tx>
            <c:strRef>
              <c:f>EP_BT3!$A$4</c:f>
              <c:strCache>
                <c:ptCount val="1"/>
                <c:pt idx="0">
                  <c:v>Total /počet</c:v>
                </c:pt>
              </c:strCache>
            </c:strRef>
          </c:tx>
          <c:spPr>
            <a:gradFill>
              <a:gsLst>
                <a:gs pos="0">
                  <a:srgbClr val="5A3187"/>
                </a:gs>
                <a:gs pos="100000">
                  <a:srgbClr val="0047FF"/>
                </a:gs>
              </a:gsLst>
              <a:lin ang="5400000" scaled="0"/>
            </a:gradFill>
          </c:spPr>
          <c:invertIfNegative val="0"/>
          <c:dLbls>
            <c:spPr>
              <a:solidFill>
                <a:prstClr val="white"/>
              </a:solidFill>
              <a:ln w="6350" cmpd="sng">
                <a:solidFill>
                  <a:schemeClr val="accent1"/>
                </a:solidFill>
                <a:prstDash val="solid"/>
              </a:ln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EP_BT3!$B$3:$K$3</c:f>
              <c:numCache>
                <c:formatCode>General</c:formatCode>
                <c:ptCount val="10"/>
                <c:pt idx="0">
                  <c:v>2004</c:v>
                </c:pt>
                <c:pt idx="1">
                  <c:v>2005</c:v>
                </c:pt>
                <c:pt idx="2">
                  <c:v>2006</c:v>
                </c:pt>
                <c:pt idx="3">
                  <c:v>2007</c:v>
                </c:pt>
                <c:pt idx="4">
                  <c:v>2008</c:v>
                </c:pt>
                <c:pt idx="5">
                  <c:v>2009</c:v>
                </c:pt>
                <c:pt idx="6">
                  <c:v>2010</c:v>
                </c:pt>
                <c:pt idx="7">
                  <c:v>2011</c:v>
                </c:pt>
                <c:pt idx="8">
                  <c:v>2012</c:v>
                </c:pt>
                <c:pt idx="9">
                  <c:v>2013</c:v>
                </c:pt>
              </c:numCache>
            </c:numRef>
          </c:cat>
          <c:val>
            <c:numRef>
              <c:f>EP_BT3!$B$4:$K$4</c:f>
              <c:numCache>
                <c:formatCode>General</c:formatCode>
                <c:ptCount val="10"/>
                <c:pt idx="0">
                  <c:v>22</c:v>
                </c:pt>
                <c:pt idx="1">
                  <c:v>246</c:v>
                </c:pt>
                <c:pt idx="2">
                  <c:v>718</c:v>
                </c:pt>
                <c:pt idx="3">
                  <c:v>1491</c:v>
                </c:pt>
                <c:pt idx="4">
                  <c:v>1726</c:v>
                </c:pt>
                <c:pt idx="5">
                  <c:v>1871</c:v>
                </c:pt>
                <c:pt idx="6">
                  <c:v>1898</c:v>
                </c:pt>
                <c:pt idx="7">
                  <c:v>2274</c:v>
                </c:pt>
                <c:pt idx="8">
                  <c:v>2376</c:v>
                </c:pt>
                <c:pt idx="9">
                  <c:v>2387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70"/>
        <c:overlap val="70"/>
        <c:axId val="22398080"/>
        <c:axId val="22399616"/>
      </c:barChart>
      <c:catAx>
        <c:axId val="2239808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 b="1"/>
            </a:pPr>
            <a:endParaRPr lang="en-US"/>
          </a:p>
        </c:txPr>
        <c:crossAx val="22399616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22399616"/>
        <c:scaling>
          <c:orientation val="minMax"/>
          <c:max val="2500"/>
          <c:min val="0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22398080"/>
        <c:crosses val="autoZero"/>
        <c:crossBetween val="between"/>
        <c:minorUnit val="50"/>
      </c:valAx>
      <c:spPr>
        <a:gradFill>
          <a:gsLst>
            <a:gs pos="0">
              <a:srgbClr val="E6DCAC"/>
            </a:gs>
            <a:gs pos="12000">
              <a:srgbClr val="E6D78A"/>
            </a:gs>
            <a:gs pos="30000">
              <a:srgbClr val="C7AC4C"/>
            </a:gs>
            <a:gs pos="45000">
              <a:srgbClr val="E6D78A"/>
            </a:gs>
            <a:gs pos="77000">
              <a:srgbClr val="C7AC4C"/>
            </a:gs>
            <a:gs pos="100000">
              <a:srgbClr val="E6DCAC"/>
            </a:gs>
          </a:gsLst>
          <a:lin ang="5400000" scaled="0"/>
        </a:gradFill>
      </c:spPr>
    </c:plotArea>
    <c:plotVisOnly val="1"/>
    <c:dispBlanksAs val="gap"/>
    <c:showDLblsOverMax val="0"/>
  </c:chart>
  <c:spPr>
    <a:ln w="19050">
      <a:solidFill>
        <a:schemeClr val="tx2"/>
      </a:solidFill>
    </a:ln>
  </c:sp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6"/>
    </mc:Choice>
    <mc:Fallback>
      <c:style val="26"/>
    </mc:Fallback>
  </mc:AlternateContent>
  <c:chart>
    <c:title>
      <c:tx>
        <c:rich>
          <a:bodyPr/>
          <a:lstStyle/>
          <a:p>
            <a:pPr>
              <a:defRPr sz="1200"/>
            </a:pPr>
            <a:r>
              <a:rPr lang="sk-SK" sz="1200"/>
              <a:t>Utility model applications
Prihlášky úžitkových vzorov</a:t>
            </a:r>
          </a:p>
        </c:rich>
      </c:tx>
      <c:layout>
        <c:manualLayout>
          <c:xMode val="edge"/>
          <c:yMode val="edge"/>
          <c:x val="0.34224658507162342"/>
          <c:y val="3.5947827141503096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23291778367276397"/>
          <c:y val="0.20261502570665368"/>
          <c:w val="0.74212846388854092"/>
          <c:h val="0.50109069699620878"/>
        </c:manualLayout>
      </c:layout>
      <c:barChart>
        <c:barDir val="col"/>
        <c:grouping val="clustered"/>
        <c:varyColors val="0"/>
        <c:ser>
          <c:idx val="1"/>
          <c:order val="0"/>
          <c:tx>
            <c:strRef>
              <c:f>'1 '!$A$23</c:f>
              <c:strCache>
                <c:ptCount val="1"/>
                <c:pt idx="0">
                  <c:v>Domáce/Domestic</c:v>
                </c:pt>
              </c:strCache>
            </c:strRef>
          </c:tx>
          <c:invertIfNegative val="0"/>
          <c:cat>
            <c:numRef>
              <c:f>'1 '!$B$22:$J$22</c:f>
              <c:numCache>
                <c:formatCode>#,##0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 formatCode="0">
                  <c:v>2013</c:v>
                </c:pt>
              </c:numCache>
            </c:numRef>
          </c:cat>
          <c:val>
            <c:numRef>
              <c:f>'1 '!$B$23:$J$23</c:f>
              <c:numCache>
                <c:formatCode>#,##0</c:formatCode>
                <c:ptCount val="9"/>
                <c:pt idx="0">
                  <c:v>278</c:v>
                </c:pt>
                <c:pt idx="1">
                  <c:v>274</c:v>
                </c:pt>
                <c:pt idx="2">
                  <c:v>252</c:v>
                </c:pt>
                <c:pt idx="3">
                  <c:v>251</c:v>
                </c:pt>
                <c:pt idx="4">
                  <c:v>237</c:v>
                </c:pt>
                <c:pt idx="5">
                  <c:v>306</c:v>
                </c:pt>
                <c:pt idx="6">
                  <c:v>350</c:v>
                </c:pt>
                <c:pt idx="7">
                  <c:v>298</c:v>
                </c:pt>
                <c:pt idx="8">
                  <c:v>339</c:v>
                </c:pt>
              </c:numCache>
            </c:numRef>
          </c:val>
        </c:ser>
        <c:ser>
          <c:idx val="2"/>
          <c:order val="1"/>
          <c:tx>
            <c:strRef>
              <c:f>'1 '!$A$24</c:f>
              <c:strCache>
                <c:ptCount val="1"/>
                <c:pt idx="0">
                  <c:v>Zahraničné/Foreign</c:v>
                </c:pt>
              </c:strCache>
            </c:strRef>
          </c:tx>
          <c:invertIfNegative val="0"/>
          <c:cat>
            <c:numRef>
              <c:f>'1 '!$B$22:$J$22</c:f>
              <c:numCache>
                <c:formatCode>#,##0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 formatCode="0">
                  <c:v>2013</c:v>
                </c:pt>
              </c:numCache>
            </c:numRef>
          </c:cat>
          <c:val>
            <c:numRef>
              <c:f>'1 '!$B$24:$J$24</c:f>
              <c:numCache>
                <c:formatCode>#,##0</c:formatCode>
                <c:ptCount val="9"/>
                <c:pt idx="0">
                  <c:v>99</c:v>
                </c:pt>
                <c:pt idx="1">
                  <c:v>68</c:v>
                </c:pt>
                <c:pt idx="2">
                  <c:v>69</c:v>
                </c:pt>
                <c:pt idx="3">
                  <c:v>75</c:v>
                </c:pt>
                <c:pt idx="4">
                  <c:v>94</c:v>
                </c:pt>
                <c:pt idx="5">
                  <c:v>81</c:v>
                </c:pt>
                <c:pt idx="6">
                  <c:v>76</c:v>
                </c:pt>
                <c:pt idx="7">
                  <c:v>94</c:v>
                </c:pt>
                <c:pt idx="8">
                  <c:v>90</c:v>
                </c:pt>
              </c:numCache>
            </c:numRef>
          </c:val>
        </c:ser>
        <c:ser>
          <c:idx val="0"/>
          <c:order val="2"/>
          <c:tx>
            <c:strRef>
              <c:f>'1 '!$A$25</c:f>
              <c:strCache>
                <c:ptCount val="1"/>
                <c:pt idx="0">
                  <c:v>Prihlášky úžitkových vzorov / Utility Models Applications</c:v>
                </c:pt>
              </c:strCache>
            </c:strRef>
          </c:tx>
          <c:invertIfNegative val="0"/>
          <c:cat>
            <c:numRef>
              <c:f>'1 '!$B$22:$J$22</c:f>
              <c:numCache>
                <c:formatCode>#,##0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 formatCode="0">
                  <c:v>2013</c:v>
                </c:pt>
              </c:numCache>
            </c:numRef>
          </c:cat>
          <c:val>
            <c:numRef>
              <c:f>'1 '!$B$25:$J$25</c:f>
              <c:numCache>
                <c:formatCode>#,##0</c:formatCode>
                <c:ptCount val="9"/>
                <c:pt idx="0">
                  <c:v>377</c:v>
                </c:pt>
                <c:pt idx="1">
                  <c:v>342</c:v>
                </c:pt>
                <c:pt idx="2">
                  <c:v>321</c:v>
                </c:pt>
                <c:pt idx="3">
                  <c:v>326</c:v>
                </c:pt>
                <c:pt idx="4">
                  <c:v>331</c:v>
                </c:pt>
                <c:pt idx="5">
                  <c:v>387</c:v>
                </c:pt>
                <c:pt idx="6">
                  <c:v>426</c:v>
                </c:pt>
                <c:pt idx="7">
                  <c:v>392</c:v>
                </c:pt>
                <c:pt idx="8" formatCode="General">
                  <c:v>429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2216704"/>
        <c:axId val="22218240"/>
      </c:barChart>
      <c:catAx>
        <c:axId val="22216704"/>
        <c:scaling>
          <c:orientation val="minMax"/>
        </c:scaling>
        <c:delete val="0"/>
        <c:axPos val="b"/>
        <c:numFmt formatCode="#,##0" sourceLinked="1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22218240"/>
        <c:crosses val="autoZero"/>
        <c:auto val="1"/>
        <c:lblAlgn val="ctr"/>
        <c:lblOffset val="100"/>
        <c:tickMarkSkip val="1"/>
        <c:noMultiLvlLbl val="0"/>
      </c:catAx>
      <c:valAx>
        <c:axId val="22218240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22216704"/>
        <c:crosses val="autoZero"/>
        <c:crossBetween val="between"/>
      </c:valAx>
      <c:dTable>
        <c:showHorzBorder val="1"/>
        <c:showVertBorder val="1"/>
        <c:showOutline val="1"/>
        <c:showKeys val="1"/>
      </c:dTable>
    </c:plotArea>
    <c:plotVisOnly val="1"/>
    <c:dispBlanksAs val="gap"/>
    <c:showDLblsOverMax val="0"/>
  </c:chart>
  <c:spPr>
    <a:ln w="19050">
      <a:solidFill>
        <a:srgbClr val="0A6C4B"/>
      </a:solidFill>
    </a:ln>
  </c:sp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6"/>
    </mc:Choice>
    <mc:Fallback>
      <c:style val="26"/>
    </mc:Fallback>
  </mc:AlternateContent>
  <c:chart>
    <c:title>
      <c:tx>
        <c:rich>
          <a:bodyPr/>
          <a:lstStyle/>
          <a:p>
            <a:pPr>
              <a:defRPr sz="1200"/>
            </a:pPr>
            <a:r>
              <a:rPr lang="sk-SK" sz="1200"/>
              <a:t>Registered utility models
Zapísané úžitkové vzory</a:t>
            </a:r>
          </a:p>
        </c:rich>
      </c:tx>
      <c:layout>
        <c:manualLayout>
          <c:xMode val="edge"/>
          <c:yMode val="edge"/>
          <c:x val="0.32384369773453126"/>
          <c:y val="2.6058673367953211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0.23250315240844024"/>
          <c:y val="0.19544005025964836"/>
          <c:w val="0.7425865628006435"/>
          <c:h val="0.50922978275923958"/>
        </c:manualLayout>
      </c:layout>
      <c:barChart>
        <c:barDir val="col"/>
        <c:grouping val="clustered"/>
        <c:varyColors val="0"/>
        <c:ser>
          <c:idx val="1"/>
          <c:order val="0"/>
          <c:tx>
            <c:strRef>
              <c:f>'1 '!$A$27</c:f>
              <c:strCache>
                <c:ptCount val="1"/>
                <c:pt idx="0">
                  <c:v>Domáce/Domestic</c:v>
                </c:pt>
              </c:strCache>
            </c:strRef>
          </c:tx>
          <c:invertIfNegative val="0"/>
          <c:cat>
            <c:numRef>
              <c:f>'1 '!$B$22:$J$22</c:f>
              <c:numCache>
                <c:formatCode>#,##0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 formatCode="0">
                  <c:v>2013</c:v>
                </c:pt>
              </c:numCache>
            </c:numRef>
          </c:cat>
          <c:val>
            <c:numRef>
              <c:f>'1 '!$B$27:$J$27</c:f>
              <c:numCache>
                <c:formatCode>#,##0</c:formatCode>
                <c:ptCount val="9"/>
                <c:pt idx="0">
                  <c:v>230</c:v>
                </c:pt>
                <c:pt idx="1">
                  <c:v>216</c:v>
                </c:pt>
                <c:pt idx="2">
                  <c:v>251</c:v>
                </c:pt>
                <c:pt idx="3">
                  <c:v>82</c:v>
                </c:pt>
                <c:pt idx="4">
                  <c:v>184</c:v>
                </c:pt>
                <c:pt idx="5">
                  <c:v>196</c:v>
                </c:pt>
                <c:pt idx="6">
                  <c:v>285</c:v>
                </c:pt>
                <c:pt idx="7">
                  <c:v>290</c:v>
                </c:pt>
                <c:pt idx="8">
                  <c:v>228</c:v>
                </c:pt>
              </c:numCache>
            </c:numRef>
          </c:val>
        </c:ser>
        <c:ser>
          <c:idx val="0"/>
          <c:order val="1"/>
          <c:tx>
            <c:strRef>
              <c:f>'1 '!$A$28</c:f>
              <c:strCache>
                <c:ptCount val="1"/>
                <c:pt idx="0">
                  <c:v>Zahraničné/Foreign</c:v>
                </c:pt>
              </c:strCache>
            </c:strRef>
          </c:tx>
          <c:spPr>
            <a:solidFill>
              <a:schemeClr val="accent3">
                <a:lumMod val="75000"/>
              </a:schemeClr>
            </a:solidFill>
          </c:spPr>
          <c:invertIfNegative val="0"/>
          <c:cat>
            <c:numRef>
              <c:f>'1 '!$B$22:$J$22</c:f>
              <c:numCache>
                <c:formatCode>#,##0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 formatCode="0">
                  <c:v>2013</c:v>
                </c:pt>
              </c:numCache>
            </c:numRef>
          </c:cat>
          <c:val>
            <c:numRef>
              <c:f>'1 '!$B$28:$J$28</c:f>
              <c:numCache>
                <c:formatCode>#,##0</c:formatCode>
                <c:ptCount val="9"/>
                <c:pt idx="0">
                  <c:v>80</c:v>
                </c:pt>
                <c:pt idx="1">
                  <c:v>61</c:v>
                </c:pt>
                <c:pt idx="2">
                  <c:v>81</c:v>
                </c:pt>
                <c:pt idx="3">
                  <c:v>20</c:v>
                </c:pt>
                <c:pt idx="4">
                  <c:v>66</c:v>
                </c:pt>
                <c:pt idx="5">
                  <c:v>87</c:v>
                </c:pt>
                <c:pt idx="6">
                  <c:v>92</c:v>
                </c:pt>
                <c:pt idx="7">
                  <c:v>68</c:v>
                </c:pt>
                <c:pt idx="8">
                  <c:v>59</c:v>
                </c:pt>
              </c:numCache>
            </c:numRef>
          </c:val>
        </c:ser>
        <c:ser>
          <c:idx val="2"/>
          <c:order val="2"/>
          <c:tx>
            <c:strRef>
              <c:f>'1 '!$A$29</c:f>
              <c:strCache>
                <c:ptCount val="1"/>
                <c:pt idx="0">
                  <c:v>Zapísané úžitkové vzory / Registered Utility Models</c:v>
                </c:pt>
              </c:strCache>
            </c:strRef>
          </c:tx>
          <c:spPr>
            <a:solidFill>
              <a:schemeClr val="accent1">
                <a:lumMod val="75000"/>
              </a:schemeClr>
            </a:solidFill>
          </c:spPr>
          <c:invertIfNegative val="0"/>
          <c:cat>
            <c:numRef>
              <c:f>'1 '!$B$22:$J$22</c:f>
              <c:numCache>
                <c:formatCode>#,##0</c:formatCode>
                <c:ptCount val="9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 formatCode="0">
                  <c:v>2013</c:v>
                </c:pt>
              </c:numCache>
            </c:numRef>
          </c:cat>
          <c:val>
            <c:numRef>
              <c:f>'1 '!$B$29:$J$29</c:f>
              <c:numCache>
                <c:formatCode>#,##0</c:formatCode>
                <c:ptCount val="9"/>
                <c:pt idx="0">
                  <c:v>310</c:v>
                </c:pt>
                <c:pt idx="1">
                  <c:v>277</c:v>
                </c:pt>
                <c:pt idx="2">
                  <c:v>332</c:v>
                </c:pt>
                <c:pt idx="3">
                  <c:v>102</c:v>
                </c:pt>
                <c:pt idx="4">
                  <c:v>250</c:v>
                </c:pt>
                <c:pt idx="5">
                  <c:v>283</c:v>
                </c:pt>
                <c:pt idx="6">
                  <c:v>377</c:v>
                </c:pt>
                <c:pt idx="7">
                  <c:v>358</c:v>
                </c:pt>
                <c:pt idx="8" formatCode="General">
                  <c:v>287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2266240"/>
        <c:axId val="22267776"/>
      </c:barChart>
      <c:catAx>
        <c:axId val="22266240"/>
        <c:scaling>
          <c:orientation val="minMax"/>
        </c:scaling>
        <c:delete val="0"/>
        <c:axPos val="b"/>
        <c:numFmt formatCode="#,##0" sourceLinked="1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22267776"/>
        <c:crosses val="autoZero"/>
        <c:auto val="1"/>
        <c:lblAlgn val="ctr"/>
        <c:lblOffset val="100"/>
        <c:tickMarkSkip val="1"/>
        <c:noMultiLvlLbl val="0"/>
      </c:catAx>
      <c:valAx>
        <c:axId val="22267776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txPr>
          <a:bodyPr rot="0" vert="horz"/>
          <a:lstStyle/>
          <a:p>
            <a:pPr>
              <a:defRPr/>
            </a:pPr>
            <a:endParaRPr lang="en-US"/>
          </a:p>
        </c:txPr>
        <c:crossAx val="22266240"/>
        <c:crosses val="autoZero"/>
        <c:crossBetween val="between"/>
      </c:valAx>
      <c:dTable>
        <c:showHorzBorder val="1"/>
        <c:showVertBorder val="1"/>
        <c:showOutline val="1"/>
        <c:showKeys val="1"/>
      </c:dTable>
    </c:plotArea>
    <c:plotVisOnly val="1"/>
    <c:dispBlanksAs val="gap"/>
    <c:showDLblsOverMax val="0"/>
  </c:chart>
  <c:spPr>
    <a:ln w="19050">
      <a:solidFill>
        <a:schemeClr val="tx2">
          <a:lumMod val="75000"/>
        </a:schemeClr>
      </a:solidFill>
    </a:ln>
  </c:sp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34"/>
    </mc:Choice>
    <mc:Fallback>
      <c:style val="34"/>
    </mc:Fallback>
  </mc:AlternateContent>
  <c:chart>
    <c:title>
      <c:tx>
        <c:rich>
          <a:bodyPr/>
          <a:lstStyle/>
          <a:p>
            <a:pPr>
              <a:defRPr sz="1200"/>
            </a:pPr>
            <a:r>
              <a:rPr lang="sk-SK" sz="1200"/>
              <a:t>Patent applications filed in 201</a:t>
            </a:r>
            <a:r>
              <a:rPr lang="en-US" sz="1200"/>
              <a:t>3</a:t>
            </a:r>
            <a:r>
              <a:rPr lang="sk-SK" sz="1200"/>
              <a:t> according to the IPC</a:t>
            </a:r>
          </a:p>
          <a:p>
            <a:pPr>
              <a:defRPr sz="1200"/>
            </a:pPr>
            <a:endParaRPr lang="sk-SK" sz="1200"/>
          </a:p>
          <a:p>
            <a:pPr>
              <a:defRPr sz="1200"/>
            </a:pPr>
            <a:r>
              <a:rPr lang="sk-SK" sz="1200"/>
              <a:t>Patentové prihlášky podané v roku 201</a:t>
            </a:r>
            <a:r>
              <a:rPr lang="en-US" sz="1200"/>
              <a:t>3</a:t>
            </a:r>
            <a:r>
              <a:rPr lang="sk-SK" sz="1200"/>
              <a:t>  podľa medzinárodného patentového triedenia</a:t>
            </a:r>
          </a:p>
        </c:rich>
      </c:tx>
      <c:layout>
        <c:manualLayout>
          <c:xMode val="edge"/>
          <c:yMode val="edge"/>
          <c:x val="8.8452088452088504E-2"/>
          <c:y val="4.02145298552306E-2"/>
        </c:manualLayout>
      </c:layout>
      <c:overlay val="0"/>
    </c:title>
    <c:autoTitleDeleted val="0"/>
    <c:view3D>
      <c:rotX val="40"/>
      <c:rotY val="36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9656019656019749"/>
          <c:y val="0.33780205078393488"/>
          <c:w val="0.6117936117936148"/>
          <c:h val="0.50402210751888665"/>
        </c:manualLayout>
      </c:layout>
      <c:pie3DChart>
        <c:varyColors val="1"/>
        <c:ser>
          <c:idx val="0"/>
          <c:order val="0"/>
          <c:tx>
            <c:strRef>
              <c:f>'Patentove prihlasky podla MPT'!$F$4:$F$5</c:f>
              <c:strCache>
                <c:ptCount val="1"/>
                <c:pt idx="0">
                  <c:v>SPOLU TOTAL</c:v>
                </c:pt>
              </c:strCache>
            </c:strRef>
          </c:tx>
          <c:dLbls>
            <c:numFmt formatCode="0.0%" sourceLinked="0"/>
            <c:showLegendKey val="0"/>
            <c:showVal val="0"/>
            <c:showCatName val="1"/>
            <c:showSerName val="0"/>
            <c:showPercent val="1"/>
            <c:showBubbleSize val="0"/>
            <c:showLeaderLines val="1"/>
          </c:dLbls>
          <c:cat>
            <c:strRef>
              <c:f>'Patentove prihlasky podla MPT'!$B$6:$B$13</c:f>
              <c:strCache>
                <c:ptCount val="8"/>
                <c:pt idx="0">
                  <c:v>A</c:v>
                </c:pt>
                <c:pt idx="1">
                  <c:v>B</c:v>
                </c:pt>
                <c:pt idx="2">
                  <c:v>C</c:v>
                </c:pt>
                <c:pt idx="3">
                  <c:v>D</c:v>
                </c:pt>
                <c:pt idx="4">
                  <c:v>E</c:v>
                </c:pt>
                <c:pt idx="5">
                  <c:v>F</c:v>
                </c:pt>
                <c:pt idx="6">
                  <c:v>G</c:v>
                </c:pt>
                <c:pt idx="7">
                  <c:v>H</c:v>
                </c:pt>
              </c:strCache>
            </c:strRef>
          </c:cat>
          <c:val>
            <c:numRef>
              <c:f>'Patentove prihlasky podla MPT'!$F$6:$F$13</c:f>
              <c:numCache>
                <c:formatCode>#,##0\ _ _ _ \ ;\-#,##0\ _ _ _ </c:formatCode>
                <c:ptCount val="8"/>
                <c:pt idx="0">
                  <c:v>38</c:v>
                </c:pt>
                <c:pt idx="1">
                  <c:v>44</c:v>
                </c:pt>
                <c:pt idx="2">
                  <c:v>19</c:v>
                </c:pt>
                <c:pt idx="3">
                  <c:v>2</c:v>
                </c:pt>
                <c:pt idx="4">
                  <c:v>10</c:v>
                </c:pt>
                <c:pt idx="5">
                  <c:v>33</c:v>
                </c:pt>
                <c:pt idx="6">
                  <c:v>34</c:v>
                </c:pt>
                <c:pt idx="7">
                  <c:v>30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plotVisOnly val="1"/>
    <c:dispBlanksAs val="zero"/>
    <c:showDLblsOverMax val="0"/>
  </c:chart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26"/>
    </mc:Choice>
    <mc:Fallback>
      <c:style val="26"/>
    </mc:Fallback>
  </mc:AlternateContent>
  <c:chart>
    <c:title>
      <c:tx>
        <c:rich>
          <a:bodyPr/>
          <a:lstStyle/>
          <a:p>
            <a:pPr>
              <a:defRPr sz="1050"/>
            </a:pPr>
            <a:r>
              <a:rPr lang="sk-SK" sz="1050"/>
              <a:t>Utility model applications filed in 201</a:t>
            </a:r>
            <a:r>
              <a:rPr lang="en-US" sz="1050"/>
              <a:t>3</a:t>
            </a:r>
            <a:r>
              <a:rPr lang="sk-SK" sz="1050"/>
              <a:t> according to the IPC</a:t>
            </a:r>
          </a:p>
          <a:p>
            <a:pPr>
              <a:defRPr sz="1050"/>
            </a:pPr>
            <a:endParaRPr lang="sk-SK" sz="1050"/>
          </a:p>
          <a:p>
            <a:pPr>
              <a:defRPr sz="1050"/>
            </a:pPr>
            <a:r>
              <a:rPr lang="sk-SK" sz="1050" b="0"/>
              <a:t>Prihlášky úžitkových vzorov podané v roku 201</a:t>
            </a:r>
            <a:r>
              <a:rPr lang="en-US" sz="1050" b="0"/>
              <a:t>3</a:t>
            </a:r>
            <a:r>
              <a:rPr lang="sk-SK" sz="1050" b="0"/>
              <a:t>  podľa medzinárodného patentového triedenia</a:t>
            </a:r>
          </a:p>
        </c:rich>
      </c:tx>
      <c:layout/>
      <c:overlay val="0"/>
    </c:title>
    <c:autoTitleDeleted val="0"/>
    <c:view3D>
      <c:rotX val="40"/>
      <c:rotY val="360"/>
      <c:rAngAx val="0"/>
      <c:perspective val="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dLbls>
            <c:numFmt formatCode="0.0%" sourceLinked="0"/>
            <c:txPr>
              <a:bodyPr/>
              <a:lstStyle/>
              <a:p>
                <a:pPr>
                  <a:defRPr b="1"/>
                </a:pPr>
                <a:endParaRPr lang="en-US"/>
              </a:p>
            </c:txPr>
            <c:showLegendKey val="0"/>
            <c:showVal val="0"/>
            <c:showCatName val="1"/>
            <c:showSerName val="0"/>
            <c:showPercent val="1"/>
            <c:showBubbleSize val="0"/>
            <c:showLeaderLines val="1"/>
          </c:dLbls>
          <c:cat>
            <c:strRef>
              <c:f>'Prihlasky UV podla MPT'!$B$6:$B$13</c:f>
              <c:strCache>
                <c:ptCount val="8"/>
                <c:pt idx="0">
                  <c:v>A</c:v>
                </c:pt>
                <c:pt idx="1">
                  <c:v>B</c:v>
                </c:pt>
                <c:pt idx="2">
                  <c:v>C</c:v>
                </c:pt>
                <c:pt idx="3">
                  <c:v>D</c:v>
                </c:pt>
                <c:pt idx="4">
                  <c:v>E</c:v>
                </c:pt>
                <c:pt idx="5">
                  <c:v>F</c:v>
                </c:pt>
                <c:pt idx="6">
                  <c:v>G</c:v>
                </c:pt>
                <c:pt idx="7">
                  <c:v>H</c:v>
                </c:pt>
              </c:strCache>
            </c:strRef>
          </c:cat>
          <c:val>
            <c:numRef>
              <c:f>'Prihlasky UV podla MPT'!$F$6:$F$13</c:f>
              <c:numCache>
                <c:formatCode>#,##0\ _ _ _ \ ;\-#,##0\ _ _ _ </c:formatCode>
                <c:ptCount val="8"/>
                <c:pt idx="0">
                  <c:v>95</c:v>
                </c:pt>
                <c:pt idx="1">
                  <c:v>92</c:v>
                </c:pt>
                <c:pt idx="2">
                  <c:v>39</c:v>
                </c:pt>
                <c:pt idx="3">
                  <c:v>5</c:v>
                </c:pt>
                <c:pt idx="4">
                  <c:v>48</c:v>
                </c:pt>
                <c:pt idx="5">
                  <c:v>60</c:v>
                </c:pt>
                <c:pt idx="6">
                  <c:v>61</c:v>
                </c:pt>
                <c:pt idx="7">
                  <c:v>29</c:v>
                </c:pt>
              </c:numCache>
            </c:numRef>
          </c:val>
        </c:ser>
        <c:dLbls>
          <c:showLegendKey val="0"/>
          <c:showVal val="0"/>
          <c:showCatName val="1"/>
          <c:showSerName val="0"/>
          <c:showPercent val="1"/>
          <c:showBubbleSize val="0"/>
          <c:showLeaderLines val="1"/>
        </c:dLbls>
      </c:pie3DChart>
    </c:plotArea>
    <c:plotVisOnly val="1"/>
    <c:dispBlanksAs val="zero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86AA46-5566-4EF7-99F4-04A91EA8B8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2</Words>
  <Characters>16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Úrad priemyselného vlastníctva SR</Company>
  <LinksUpToDate>false</LinksUpToDate>
  <CharactersWithSpaces>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Mgr. Zuzana Hančuláková</dc:creator>
  <cp:lastModifiedBy>BHUNNOO Dawood</cp:lastModifiedBy>
  <cp:revision>1</cp:revision>
  <dcterms:created xsi:type="dcterms:W3CDTF">2014-09-25T11:14:00Z</dcterms:created>
  <dcterms:modified xsi:type="dcterms:W3CDTF">2015-11-24T16:37:00Z</dcterms:modified>
</cp:coreProperties>
</file>