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5E9D" w:rsidRDefault="00C11743">
      <w:bookmarkStart w:id="0" w:name="_GoBack"/>
      <w:bookmarkEnd w:id="0"/>
      <w:r>
        <w:rPr>
          <w:rFonts w:ascii="Times New Roman" w:hAnsi="Times New Roman"/>
          <w:noProof/>
          <w:color w:val="000000"/>
          <w:lang w:val="en-US"/>
        </w:rPr>
        <w:drawing>
          <wp:inline distT="0" distB="0" distL="0" distR="0">
            <wp:extent cx="5496185" cy="3237357"/>
            <wp:effectExtent l="12189" t="6096" r="14856" b="4572"/>
            <wp:docPr id="10" name="Graf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inline>
        </w:drawing>
      </w:r>
    </w:p>
    <w:p w:rsidR="00C11743" w:rsidRDefault="00C11743"/>
    <w:p w:rsidR="00C11743" w:rsidRDefault="00C11743">
      <w:r>
        <w:rPr>
          <w:rFonts w:ascii="Times New Roman" w:hAnsi="Times New Roman"/>
          <w:noProof/>
          <w:color w:val="000000"/>
          <w:lang w:val="en-US"/>
        </w:rPr>
        <w:drawing>
          <wp:inline distT="0" distB="0" distL="0" distR="0">
            <wp:extent cx="5475473" cy="3239888"/>
            <wp:effectExtent l="12195" t="6101" r="9527" b="4576"/>
            <wp:docPr id="7" name="Graf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sectPr w:rsidR="00C11743" w:rsidSect="00245E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C11743"/>
    <w:rsid w:val="000D26BA"/>
    <w:rsid w:val="00245E9D"/>
    <w:rsid w:val="00C117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45E9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1174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1174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chart" Target="charts/chart2.xml"/><Relationship Id="rId5" Type="http://schemas.openxmlformats.org/officeDocument/2006/relationships/chart" Target="charts/chart1.xml"/><Relationship Id="rId4" Type="http://schemas.openxmlformats.org/officeDocument/2006/relationships/webSettings" Target="webSettings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D:\WIPO_SCIT_reports\2013\OI_Work\grafy_2013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D:\WIPO_SCIT_reports\2013\OI_Work\grafy_2013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6"/>
    </mc:Choice>
    <mc:Fallback>
      <c:style val="26"/>
    </mc:Fallback>
  </mc:AlternateContent>
  <c:chart>
    <c:title>
      <c:tx>
        <c:rich>
          <a:bodyPr/>
          <a:lstStyle/>
          <a:p>
            <a:pPr>
              <a:defRPr sz="1400"/>
            </a:pPr>
            <a:r>
              <a:rPr lang="sk-SK" sz="1400"/>
              <a:t>Trademark applications
Prihlášky ochranných známok</a:t>
            </a:r>
          </a:p>
        </c:rich>
      </c:tx>
      <c:layout>
        <c:manualLayout>
          <c:xMode val="edge"/>
          <c:yMode val="edge"/>
          <c:x val="0.39960238568588741"/>
          <c:y val="3.235298763928602E-2"/>
        </c:manualLayout>
      </c:layout>
      <c:overlay val="0"/>
    </c:title>
    <c:autoTitleDeleted val="0"/>
    <c:plotArea>
      <c:layout>
        <c:manualLayout>
          <c:layoutTarget val="inner"/>
          <c:xMode val="edge"/>
          <c:yMode val="edge"/>
          <c:x val="0.2544731610337973"/>
          <c:y val="0.1941179258357161"/>
          <c:w val="0.71769383697813682"/>
          <c:h val="0.52353016361753657"/>
        </c:manualLayout>
      </c:layout>
      <c:barChart>
        <c:barDir val="col"/>
        <c:grouping val="clustered"/>
        <c:varyColors val="0"/>
        <c:ser>
          <c:idx val="2"/>
          <c:order val="0"/>
          <c:tx>
            <c:strRef>
              <c:f>'1 '!$A$43</c:f>
              <c:strCache>
                <c:ptCount val="1"/>
                <c:pt idx="0">
                  <c:v>Domáce/Domestic</c:v>
                </c:pt>
              </c:strCache>
            </c:strRef>
          </c:tx>
          <c:spPr>
            <a:solidFill>
              <a:srgbClr val="FF0000"/>
            </a:solidFill>
          </c:spPr>
          <c:invertIfNegative val="0"/>
          <c:cat>
            <c:numRef>
              <c:f>'1 '!$B$42:$J$42</c:f>
              <c:numCache>
                <c:formatCode>0</c:formatCode>
                <c:ptCount val="9"/>
                <c:pt idx="0">
                  <c:v>2005</c:v>
                </c:pt>
                <c:pt idx="1">
                  <c:v>2006</c:v>
                </c:pt>
                <c:pt idx="2">
                  <c:v>2007</c:v>
                </c:pt>
                <c:pt idx="3">
                  <c:v>2008</c:v>
                </c:pt>
                <c:pt idx="4">
                  <c:v>2009</c:v>
                </c:pt>
                <c:pt idx="5">
                  <c:v>2010</c:v>
                </c:pt>
                <c:pt idx="6">
                  <c:v>2011</c:v>
                </c:pt>
                <c:pt idx="7">
                  <c:v>2012</c:v>
                </c:pt>
                <c:pt idx="8">
                  <c:v>2013</c:v>
                </c:pt>
              </c:numCache>
            </c:numRef>
          </c:cat>
          <c:val>
            <c:numRef>
              <c:f>'1 '!$B$43:$J$43</c:f>
              <c:numCache>
                <c:formatCode>#,##0</c:formatCode>
                <c:ptCount val="9"/>
                <c:pt idx="0">
                  <c:v>2739</c:v>
                </c:pt>
                <c:pt idx="1">
                  <c:v>2828</c:v>
                </c:pt>
                <c:pt idx="2">
                  <c:v>2889</c:v>
                </c:pt>
                <c:pt idx="3">
                  <c:v>2872</c:v>
                </c:pt>
                <c:pt idx="4">
                  <c:v>2192</c:v>
                </c:pt>
                <c:pt idx="5">
                  <c:v>2238</c:v>
                </c:pt>
                <c:pt idx="6">
                  <c:v>2333</c:v>
                </c:pt>
                <c:pt idx="7">
                  <c:v>2218</c:v>
                </c:pt>
                <c:pt idx="8">
                  <c:v>2447</c:v>
                </c:pt>
              </c:numCache>
            </c:numRef>
          </c:val>
        </c:ser>
        <c:ser>
          <c:idx val="0"/>
          <c:order val="1"/>
          <c:tx>
            <c:strRef>
              <c:f>'1 '!$A$44</c:f>
              <c:strCache>
                <c:ptCount val="1"/>
                <c:pt idx="0">
                  <c:v>Zahraničné/Foreign</c:v>
                </c:pt>
              </c:strCache>
            </c:strRef>
          </c:tx>
          <c:spPr>
            <a:solidFill>
              <a:srgbClr val="62933D"/>
            </a:solidFill>
          </c:spPr>
          <c:invertIfNegative val="0"/>
          <c:cat>
            <c:numRef>
              <c:f>'1 '!$B$42:$J$42</c:f>
              <c:numCache>
                <c:formatCode>0</c:formatCode>
                <c:ptCount val="9"/>
                <c:pt idx="0">
                  <c:v>2005</c:v>
                </c:pt>
                <c:pt idx="1">
                  <c:v>2006</c:v>
                </c:pt>
                <c:pt idx="2">
                  <c:v>2007</c:v>
                </c:pt>
                <c:pt idx="3">
                  <c:v>2008</c:v>
                </c:pt>
                <c:pt idx="4">
                  <c:v>2009</c:v>
                </c:pt>
                <c:pt idx="5">
                  <c:v>2010</c:v>
                </c:pt>
                <c:pt idx="6">
                  <c:v>2011</c:v>
                </c:pt>
                <c:pt idx="7">
                  <c:v>2012</c:v>
                </c:pt>
                <c:pt idx="8">
                  <c:v>2013</c:v>
                </c:pt>
              </c:numCache>
            </c:numRef>
          </c:cat>
          <c:val>
            <c:numRef>
              <c:f>'1 '!$B$44:$J$44</c:f>
              <c:numCache>
                <c:formatCode>#,##0</c:formatCode>
                <c:ptCount val="9"/>
                <c:pt idx="0">
                  <c:v>1146</c:v>
                </c:pt>
                <c:pt idx="1">
                  <c:v>1079</c:v>
                </c:pt>
                <c:pt idx="2">
                  <c:v>1031</c:v>
                </c:pt>
                <c:pt idx="3">
                  <c:v>949</c:v>
                </c:pt>
                <c:pt idx="4">
                  <c:v>655</c:v>
                </c:pt>
                <c:pt idx="5">
                  <c:v>738</c:v>
                </c:pt>
                <c:pt idx="6">
                  <c:v>774</c:v>
                </c:pt>
                <c:pt idx="7">
                  <c:v>652</c:v>
                </c:pt>
                <c:pt idx="8">
                  <c:v>723</c:v>
                </c:pt>
              </c:numCache>
            </c:numRef>
          </c:val>
        </c:ser>
        <c:ser>
          <c:idx val="3"/>
          <c:order val="2"/>
          <c:tx>
            <c:strRef>
              <c:f>'1 '!$A$45</c:f>
              <c:strCache>
                <c:ptCount val="1"/>
                <c:pt idx="0">
                  <c:v>Spolu / Total</c:v>
                </c:pt>
              </c:strCache>
            </c:strRef>
          </c:tx>
          <c:spPr>
            <a:solidFill>
              <a:schemeClr val="tx2">
                <a:lumMod val="60000"/>
                <a:lumOff val="40000"/>
              </a:schemeClr>
            </a:solidFill>
          </c:spPr>
          <c:invertIfNegative val="0"/>
          <c:cat>
            <c:numRef>
              <c:f>'1 '!$B$42:$J$42</c:f>
              <c:numCache>
                <c:formatCode>0</c:formatCode>
                <c:ptCount val="9"/>
                <c:pt idx="0">
                  <c:v>2005</c:v>
                </c:pt>
                <c:pt idx="1">
                  <c:v>2006</c:v>
                </c:pt>
                <c:pt idx="2">
                  <c:v>2007</c:v>
                </c:pt>
                <c:pt idx="3">
                  <c:v>2008</c:v>
                </c:pt>
                <c:pt idx="4">
                  <c:v>2009</c:v>
                </c:pt>
                <c:pt idx="5">
                  <c:v>2010</c:v>
                </c:pt>
                <c:pt idx="6">
                  <c:v>2011</c:v>
                </c:pt>
                <c:pt idx="7">
                  <c:v>2012</c:v>
                </c:pt>
                <c:pt idx="8">
                  <c:v>2013</c:v>
                </c:pt>
              </c:numCache>
            </c:numRef>
          </c:cat>
          <c:val>
            <c:numRef>
              <c:f>'1 '!$B$45:$J$45</c:f>
              <c:numCache>
                <c:formatCode>#,##0</c:formatCode>
                <c:ptCount val="9"/>
                <c:pt idx="0">
                  <c:v>3885</c:v>
                </c:pt>
                <c:pt idx="1">
                  <c:v>3907</c:v>
                </c:pt>
                <c:pt idx="2">
                  <c:v>3920</c:v>
                </c:pt>
                <c:pt idx="3">
                  <c:v>3821</c:v>
                </c:pt>
                <c:pt idx="4">
                  <c:v>2847</c:v>
                </c:pt>
                <c:pt idx="5">
                  <c:v>2976</c:v>
                </c:pt>
                <c:pt idx="6">
                  <c:v>3107</c:v>
                </c:pt>
                <c:pt idx="7">
                  <c:v>2870</c:v>
                </c:pt>
                <c:pt idx="8">
                  <c:v>3170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23168128"/>
        <c:axId val="23169664"/>
      </c:barChart>
      <c:catAx>
        <c:axId val="23168128"/>
        <c:scaling>
          <c:orientation val="minMax"/>
        </c:scaling>
        <c:delete val="0"/>
        <c:axPos val="b"/>
        <c:numFmt formatCode="0" sourceLinked="1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23169664"/>
        <c:crosses val="autoZero"/>
        <c:auto val="1"/>
        <c:lblAlgn val="ctr"/>
        <c:lblOffset val="100"/>
        <c:tickMarkSkip val="1"/>
        <c:noMultiLvlLbl val="0"/>
      </c:catAx>
      <c:valAx>
        <c:axId val="23169664"/>
        <c:scaling>
          <c:orientation val="minMax"/>
          <c:max val="4100"/>
          <c:min val="0"/>
        </c:scaling>
        <c:delete val="0"/>
        <c:axPos val="l"/>
        <c:majorGridlines/>
        <c:numFmt formatCode="#,##0" sourceLinked="1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23168128"/>
        <c:crosses val="autoZero"/>
        <c:crossBetween val="between"/>
      </c:valAx>
      <c:dTable>
        <c:showHorzBorder val="1"/>
        <c:showVertBorder val="1"/>
        <c:showOutline val="1"/>
        <c:showKeys val="1"/>
      </c:dTable>
    </c:plotArea>
    <c:plotVisOnly val="1"/>
    <c:dispBlanksAs val="gap"/>
    <c:showDLblsOverMax val="0"/>
  </c:chart>
  <c:spPr>
    <a:ln w="19050">
      <a:solidFill>
        <a:schemeClr val="tx2">
          <a:lumMod val="75000"/>
        </a:schemeClr>
      </a:solidFill>
    </a:ln>
  </c:sp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6"/>
    </mc:Choice>
    <mc:Fallback>
      <c:style val="26"/>
    </mc:Fallback>
  </mc:AlternateContent>
  <c:chart>
    <c:title>
      <c:tx>
        <c:rich>
          <a:bodyPr/>
          <a:lstStyle/>
          <a:p>
            <a:pPr>
              <a:defRPr sz="1400"/>
            </a:pPr>
            <a:r>
              <a:rPr lang="sk-SK" sz="1400"/>
              <a:t>Trademark registrations
Zapísané ochranné známky</a:t>
            </a:r>
          </a:p>
        </c:rich>
      </c:tx>
      <c:layout>
        <c:manualLayout>
          <c:xMode val="edge"/>
          <c:yMode val="edge"/>
          <c:x val="0.33596837944664393"/>
          <c:y val="2.6470626250325011E-2"/>
        </c:manualLayout>
      </c:layout>
      <c:overlay val="0"/>
    </c:title>
    <c:autoTitleDeleted val="0"/>
    <c:plotArea>
      <c:layout>
        <c:manualLayout>
          <c:layoutTarget val="inner"/>
          <c:xMode val="edge"/>
          <c:yMode val="edge"/>
          <c:x val="0.25296442687747167"/>
          <c:y val="0.17941202236331341"/>
          <c:w val="0.71936758893280317"/>
          <c:h val="0.53823606708993732"/>
        </c:manualLayout>
      </c:layout>
      <c:barChart>
        <c:barDir val="col"/>
        <c:grouping val="clustered"/>
        <c:varyColors val="0"/>
        <c:ser>
          <c:idx val="2"/>
          <c:order val="0"/>
          <c:tx>
            <c:strRef>
              <c:f>'1 '!$A$49</c:f>
              <c:strCache>
                <c:ptCount val="1"/>
                <c:pt idx="0">
                  <c:v>Domáce / Domestic</c:v>
                </c:pt>
              </c:strCache>
            </c:strRef>
          </c:tx>
          <c:spPr>
            <a:solidFill>
              <a:srgbClr val="C00000"/>
            </a:solidFill>
          </c:spPr>
          <c:invertIfNegative val="0"/>
          <c:cat>
            <c:numRef>
              <c:f>'1 '!$B$42:$J$42</c:f>
              <c:numCache>
                <c:formatCode>0</c:formatCode>
                <c:ptCount val="9"/>
                <c:pt idx="0">
                  <c:v>2005</c:v>
                </c:pt>
                <c:pt idx="1">
                  <c:v>2006</c:v>
                </c:pt>
                <c:pt idx="2">
                  <c:v>2007</c:v>
                </c:pt>
                <c:pt idx="3">
                  <c:v>2008</c:v>
                </c:pt>
                <c:pt idx="4">
                  <c:v>2009</c:v>
                </c:pt>
                <c:pt idx="5">
                  <c:v>2010</c:v>
                </c:pt>
                <c:pt idx="6">
                  <c:v>2011</c:v>
                </c:pt>
                <c:pt idx="7">
                  <c:v>2012</c:v>
                </c:pt>
                <c:pt idx="8">
                  <c:v>2013</c:v>
                </c:pt>
              </c:numCache>
            </c:numRef>
          </c:cat>
          <c:val>
            <c:numRef>
              <c:f>'1 '!$B$49:$J$49</c:f>
              <c:numCache>
                <c:formatCode>#,##0</c:formatCode>
                <c:ptCount val="9"/>
                <c:pt idx="0">
                  <c:v>2872</c:v>
                </c:pt>
                <c:pt idx="1">
                  <c:v>2542</c:v>
                </c:pt>
                <c:pt idx="2">
                  <c:v>2828</c:v>
                </c:pt>
                <c:pt idx="3">
                  <c:v>2470</c:v>
                </c:pt>
                <c:pt idx="4">
                  <c:v>2235</c:v>
                </c:pt>
                <c:pt idx="5">
                  <c:v>1662</c:v>
                </c:pt>
                <c:pt idx="6">
                  <c:v>1712</c:v>
                </c:pt>
                <c:pt idx="7">
                  <c:v>1892</c:v>
                </c:pt>
                <c:pt idx="8">
                  <c:v>1885</c:v>
                </c:pt>
              </c:numCache>
            </c:numRef>
          </c:val>
        </c:ser>
        <c:ser>
          <c:idx val="0"/>
          <c:order val="1"/>
          <c:tx>
            <c:strRef>
              <c:f>'1 '!$A$50</c:f>
              <c:strCache>
                <c:ptCount val="1"/>
                <c:pt idx="0">
                  <c:v>Zahraničné / Foreign</c:v>
                </c:pt>
              </c:strCache>
            </c:strRef>
          </c:tx>
          <c:spPr>
            <a:solidFill>
              <a:srgbClr val="62933D"/>
            </a:solidFill>
          </c:spPr>
          <c:invertIfNegative val="0"/>
          <c:cat>
            <c:numRef>
              <c:f>'1 '!$B$42:$J$42</c:f>
              <c:numCache>
                <c:formatCode>0</c:formatCode>
                <c:ptCount val="9"/>
                <c:pt idx="0">
                  <c:v>2005</c:v>
                </c:pt>
                <c:pt idx="1">
                  <c:v>2006</c:v>
                </c:pt>
                <c:pt idx="2">
                  <c:v>2007</c:v>
                </c:pt>
                <c:pt idx="3">
                  <c:v>2008</c:v>
                </c:pt>
                <c:pt idx="4">
                  <c:v>2009</c:v>
                </c:pt>
                <c:pt idx="5">
                  <c:v>2010</c:v>
                </c:pt>
                <c:pt idx="6">
                  <c:v>2011</c:v>
                </c:pt>
                <c:pt idx="7">
                  <c:v>2012</c:v>
                </c:pt>
                <c:pt idx="8">
                  <c:v>2013</c:v>
                </c:pt>
              </c:numCache>
            </c:numRef>
          </c:cat>
          <c:val>
            <c:numRef>
              <c:f>'1 '!$B$50:$J$50</c:f>
              <c:numCache>
                <c:formatCode>#,##0</c:formatCode>
                <c:ptCount val="9"/>
                <c:pt idx="0">
                  <c:v>1424</c:v>
                </c:pt>
                <c:pt idx="1">
                  <c:v>1213</c:v>
                </c:pt>
                <c:pt idx="2">
                  <c:v>1077</c:v>
                </c:pt>
                <c:pt idx="3">
                  <c:v>1016</c:v>
                </c:pt>
                <c:pt idx="4">
                  <c:v>862</c:v>
                </c:pt>
                <c:pt idx="5">
                  <c:v>637</c:v>
                </c:pt>
                <c:pt idx="6">
                  <c:v>597</c:v>
                </c:pt>
                <c:pt idx="7">
                  <c:v>660</c:v>
                </c:pt>
                <c:pt idx="8">
                  <c:v>640</c:v>
                </c:pt>
              </c:numCache>
            </c:numRef>
          </c:val>
        </c:ser>
        <c:ser>
          <c:idx val="3"/>
          <c:order val="2"/>
          <c:tx>
            <c:strRef>
              <c:f>'1 '!$A$51</c:f>
              <c:strCache>
                <c:ptCount val="1"/>
                <c:pt idx="0">
                  <c:v>Spolu / Total</c:v>
                </c:pt>
              </c:strCache>
            </c:strRef>
          </c:tx>
          <c:spPr>
            <a:solidFill>
              <a:schemeClr val="tx2">
                <a:lumMod val="60000"/>
                <a:lumOff val="40000"/>
              </a:schemeClr>
            </a:solidFill>
          </c:spPr>
          <c:invertIfNegative val="0"/>
          <c:cat>
            <c:numRef>
              <c:f>'1 '!$B$42:$J$42</c:f>
              <c:numCache>
                <c:formatCode>0</c:formatCode>
                <c:ptCount val="9"/>
                <c:pt idx="0">
                  <c:v>2005</c:v>
                </c:pt>
                <c:pt idx="1">
                  <c:v>2006</c:v>
                </c:pt>
                <c:pt idx="2">
                  <c:v>2007</c:v>
                </c:pt>
                <c:pt idx="3">
                  <c:v>2008</c:v>
                </c:pt>
                <c:pt idx="4">
                  <c:v>2009</c:v>
                </c:pt>
                <c:pt idx="5">
                  <c:v>2010</c:v>
                </c:pt>
                <c:pt idx="6">
                  <c:v>2011</c:v>
                </c:pt>
                <c:pt idx="7">
                  <c:v>2012</c:v>
                </c:pt>
                <c:pt idx="8">
                  <c:v>2013</c:v>
                </c:pt>
              </c:numCache>
            </c:numRef>
          </c:cat>
          <c:val>
            <c:numRef>
              <c:f>'1 '!$B$51:$J$51</c:f>
              <c:numCache>
                <c:formatCode>#,##0</c:formatCode>
                <c:ptCount val="9"/>
                <c:pt idx="0">
                  <c:v>4296</c:v>
                </c:pt>
                <c:pt idx="1">
                  <c:v>3755</c:v>
                </c:pt>
                <c:pt idx="2">
                  <c:v>3905</c:v>
                </c:pt>
                <c:pt idx="3">
                  <c:v>3486</c:v>
                </c:pt>
                <c:pt idx="4">
                  <c:v>3097</c:v>
                </c:pt>
                <c:pt idx="5">
                  <c:v>2299</c:v>
                </c:pt>
                <c:pt idx="6">
                  <c:v>2309</c:v>
                </c:pt>
                <c:pt idx="7">
                  <c:v>2552</c:v>
                </c:pt>
                <c:pt idx="8">
                  <c:v>2525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35145600"/>
        <c:axId val="35147136"/>
      </c:barChart>
      <c:catAx>
        <c:axId val="35145600"/>
        <c:scaling>
          <c:orientation val="minMax"/>
        </c:scaling>
        <c:delete val="0"/>
        <c:axPos val="b"/>
        <c:numFmt formatCode="0" sourceLinked="1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35147136"/>
        <c:crosses val="autoZero"/>
        <c:auto val="1"/>
        <c:lblAlgn val="ctr"/>
        <c:lblOffset val="100"/>
        <c:tickMarkSkip val="1"/>
        <c:noMultiLvlLbl val="0"/>
      </c:catAx>
      <c:valAx>
        <c:axId val="35147136"/>
        <c:scaling>
          <c:orientation val="minMax"/>
          <c:max val="4400"/>
          <c:min val="0"/>
        </c:scaling>
        <c:delete val="0"/>
        <c:axPos val="l"/>
        <c:majorGridlines/>
        <c:minorGridlines/>
        <c:numFmt formatCode="#,##0" sourceLinked="1"/>
        <c:majorTickMark val="out"/>
        <c:minorTickMark val="out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35145600"/>
        <c:crosses val="autoZero"/>
        <c:crossBetween val="between"/>
        <c:majorUnit val="500"/>
        <c:minorUnit val="500"/>
      </c:valAx>
      <c:dTable>
        <c:showHorzBorder val="1"/>
        <c:showVertBorder val="1"/>
        <c:showOutline val="1"/>
        <c:showKeys val="1"/>
      </c:dTable>
    </c:plotArea>
    <c:plotVisOnly val="1"/>
    <c:dispBlanksAs val="gap"/>
    <c:showDLblsOverMax val="0"/>
  </c:chart>
  <c:spPr>
    <a:ln w="19050">
      <a:solidFill>
        <a:srgbClr val="1F497D">
          <a:lumMod val="75000"/>
        </a:srgbClr>
      </a:solidFill>
    </a:ln>
  </c:spPr>
  <c:externalData r:id="rId1">
    <c:autoUpdate val="0"/>
  </c:externalData>
</c:chartSpace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0</Words>
  <Characters>4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Úrad priemyselného vlastníctva SR</Company>
  <LinksUpToDate>false</LinksUpToDate>
  <CharactersWithSpaces>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Mgr. Zuzana Hančuláková</dc:creator>
  <cp:lastModifiedBy>BHUNNOO Dawood</cp:lastModifiedBy>
  <cp:revision>1</cp:revision>
  <dcterms:created xsi:type="dcterms:W3CDTF">2014-11-03T12:02:00Z</dcterms:created>
  <dcterms:modified xsi:type="dcterms:W3CDTF">2015-11-24T16:39:00Z</dcterms:modified>
</cp:coreProperties>
</file>