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2392" w:rsidRDefault="00AC2392" w:rsidP="00AC2392">
      <w:pPr>
        <w:jc w:val="center"/>
        <w:rPr>
          <w:rFonts w:ascii="Calibri" w:hAnsi="Calibri" w:cs="Calibri"/>
          <w:sz w:val="22"/>
          <w:szCs w:val="22"/>
          <w:lang w:val="ru-RU"/>
        </w:rPr>
      </w:pPr>
      <w:bookmarkStart w:id="0" w:name="_GoBack"/>
      <w:bookmarkEnd w:id="0"/>
      <w:r>
        <w:rPr>
          <w:rFonts w:ascii="Garamond" w:hAnsi="Garamond"/>
          <w:b/>
          <w:bCs/>
          <w:color w:val="000000"/>
          <w:lang w:val="en-US"/>
        </w:rPr>
        <w:t>STATEMENT OF THE NATIONAL INDUSTRIAL PROPERTY OF CHILE INAPI</w:t>
      </w:r>
    </w:p>
    <w:p w:rsidR="00AC2392" w:rsidRDefault="00AC2392" w:rsidP="00AC2392">
      <w:pPr>
        <w:jc w:val="center"/>
        <w:rPr>
          <w:rFonts w:ascii="Calibri" w:hAnsi="Calibri" w:cs="Calibri"/>
          <w:sz w:val="22"/>
          <w:szCs w:val="22"/>
          <w:lang w:val="ru-RU"/>
        </w:rPr>
      </w:pPr>
      <w:r>
        <w:rPr>
          <w:rFonts w:ascii="Garamond" w:hAnsi="Garamond"/>
          <w:b/>
          <w:bCs/>
          <w:color w:val="000000"/>
          <w:lang w:val="en-US"/>
        </w:rPr>
        <w:t> </w:t>
      </w:r>
    </w:p>
    <w:p w:rsidR="00AC2392" w:rsidRDefault="00AC2392" w:rsidP="00AC2392">
      <w:pPr>
        <w:rPr>
          <w:rFonts w:ascii="Calibri" w:hAnsi="Calibri" w:cs="Calibri"/>
          <w:sz w:val="22"/>
          <w:szCs w:val="22"/>
          <w:lang w:val="ru-RU"/>
        </w:rPr>
      </w:pPr>
      <w:r>
        <w:rPr>
          <w:rFonts w:ascii="Garamond" w:hAnsi="Garamond"/>
          <w:color w:val="000000"/>
          <w:lang w:val="en-US"/>
        </w:rPr>
        <w:t> </w:t>
      </w:r>
    </w:p>
    <w:p w:rsidR="00AC2392" w:rsidRDefault="00AC2392" w:rsidP="00AC2392">
      <w:pPr>
        <w:rPr>
          <w:lang w:val="ru-RU"/>
        </w:rPr>
      </w:pPr>
      <w:r>
        <w:rPr>
          <w:noProof/>
        </w:rPr>
        <w:drawing>
          <wp:inline distT="0" distB="0" distL="0" distR="0">
            <wp:extent cx="1384300" cy="1270000"/>
            <wp:effectExtent l="0" t="0" r="6350" b="6350"/>
            <wp:docPr id="1" name="Picture 1" descr="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png"/>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1384300" cy="1270000"/>
                    </a:xfrm>
                    <a:prstGeom prst="rect">
                      <a:avLst/>
                    </a:prstGeom>
                    <a:noFill/>
                    <a:ln>
                      <a:noFill/>
                    </a:ln>
                  </pic:spPr>
                </pic:pic>
              </a:graphicData>
            </a:graphic>
          </wp:inline>
        </w:drawing>
      </w:r>
    </w:p>
    <w:p w:rsidR="00AC2392" w:rsidRDefault="00AC2392" w:rsidP="00AC2392">
      <w:pPr>
        <w:rPr>
          <w:rFonts w:ascii="Calibri" w:hAnsi="Calibri" w:cs="Calibri"/>
          <w:sz w:val="22"/>
          <w:szCs w:val="22"/>
          <w:lang w:val="ru-RU"/>
        </w:rPr>
      </w:pPr>
    </w:p>
    <w:p w:rsidR="00AC2392" w:rsidRDefault="00AC2392" w:rsidP="00AC2392">
      <w:pPr>
        <w:rPr>
          <w:rFonts w:ascii="Calibri" w:hAnsi="Calibri" w:cs="Calibri"/>
          <w:sz w:val="22"/>
          <w:szCs w:val="22"/>
          <w:lang w:val="ru-RU"/>
        </w:rPr>
      </w:pPr>
      <w:r>
        <w:rPr>
          <w:rFonts w:ascii="Garamond" w:hAnsi="Garamond"/>
          <w:color w:val="000000"/>
          <w:lang w:val="en-US"/>
        </w:rPr>
        <w:t>Dear Members of the Committee,</w:t>
      </w:r>
    </w:p>
    <w:p w:rsidR="00AC2392" w:rsidRDefault="00AC2392" w:rsidP="00AC2392">
      <w:pPr>
        <w:rPr>
          <w:rFonts w:ascii="Calibri" w:hAnsi="Calibri" w:cs="Calibri"/>
          <w:sz w:val="22"/>
          <w:szCs w:val="22"/>
          <w:lang w:val="ru-RU"/>
        </w:rPr>
      </w:pPr>
      <w:r>
        <w:rPr>
          <w:rFonts w:ascii="Garamond" w:hAnsi="Garamond"/>
          <w:color w:val="000000"/>
          <w:lang w:val="en-US"/>
        </w:rPr>
        <w:t> </w:t>
      </w:r>
    </w:p>
    <w:p w:rsidR="00AC2392" w:rsidRDefault="00AC2392" w:rsidP="00AC2392">
      <w:pPr>
        <w:rPr>
          <w:rFonts w:ascii="Calibri" w:hAnsi="Calibri" w:cs="Calibri"/>
          <w:sz w:val="22"/>
          <w:szCs w:val="22"/>
          <w:lang w:val="ru-RU"/>
        </w:rPr>
      </w:pPr>
      <w:r>
        <w:rPr>
          <w:rFonts w:ascii="Garamond" w:hAnsi="Garamond"/>
          <w:color w:val="000000"/>
          <w:lang w:val="en-US"/>
        </w:rPr>
        <w:t xml:space="preserve">In response to Circular </w:t>
      </w:r>
      <w:r>
        <w:rPr>
          <w:rFonts w:ascii="Garamond" w:hAnsi="Garamond"/>
          <w:lang w:val="en-US"/>
        </w:rPr>
        <w:t xml:space="preserve">C. PCT 1598 concerning the application for appointment of the Eurasian Patent Office (EAPO) as an International Searching and Preliminary Examining Authority under the PCT in accordance with Articles 1 6(3)(e) and 32(3) of the PCT and the relevant understanding of the PCT Assembly, as modified at its fiftieth (29th extraordinary) session, held in Geneva from September 24 to October 2, 2018, and after having reviewed document PCT/CTC/31/2, published on March 20, 2020, the </w:t>
      </w:r>
      <w:r>
        <w:rPr>
          <w:rFonts w:ascii="Garamond" w:hAnsi="Garamond"/>
          <w:b/>
          <w:bCs/>
          <w:lang w:val="en-US"/>
        </w:rPr>
        <w:t>National Industrial Property Institute of Chile, INAPI</w:t>
      </w:r>
      <w:r>
        <w:rPr>
          <w:rFonts w:ascii="Garamond" w:hAnsi="Garamond"/>
          <w:lang w:val="en-US"/>
        </w:rPr>
        <w:t>, as member of the Committee, makes the following statement on above-mentioned subject matter:</w:t>
      </w:r>
    </w:p>
    <w:p w:rsidR="00AC2392" w:rsidRDefault="00AC2392" w:rsidP="00AC2392">
      <w:pPr>
        <w:rPr>
          <w:rFonts w:ascii="Calibri" w:hAnsi="Calibri" w:cs="Calibri"/>
          <w:sz w:val="22"/>
          <w:szCs w:val="22"/>
          <w:lang w:val="ru-RU"/>
        </w:rPr>
      </w:pPr>
      <w:r>
        <w:rPr>
          <w:rFonts w:ascii="Garamond" w:hAnsi="Garamond"/>
          <w:lang w:val="en-US"/>
        </w:rPr>
        <w:t> </w:t>
      </w:r>
    </w:p>
    <w:p w:rsidR="00AC2392" w:rsidRDefault="00AC2392" w:rsidP="00AC2392">
      <w:pPr>
        <w:rPr>
          <w:rFonts w:ascii="Calibri" w:hAnsi="Calibri" w:cs="Calibri"/>
          <w:sz w:val="22"/>
          <w:szCs w:val="22"/>
          <w:lang w:val="ru-RU"/>
        </w:rPr>
      </w:pPr>
      <w:r>
        <w:rPr>
          <w:rFonts w:ascii="Garamond" w:hAnsi="Garamond"/>
          <w:lang w:val="en-US"/>
        </w:rPr>
        <w:t>INAPI fully support the appointment of the Eurasian Patent Office (EAPO) as an International Searching and Preliminary Examining Authority, ISA/IPEA, under the PCT in accordance with Articles 1 6(3)(e) and 32(3) of the PCT and the relevant understanding of the PCT Assembly</w:t>
      </w:r>
    </w:p>
    <w:p w:rsidR="00AC2392" w:rsidRDefault="00AC2392" w:rsidP="00AC2392">
      <w:pPr>
        <w:rPr>
          <w:rFonts w:ascii="Calibri" w:hAnsi="Calibri" w:cs="Calibri"/>
          <w:sz w:val="22"/>
          <w:szCs w:val="22"/>
          <w:lang w:val="ru-RU"/>
        </w:rPr>
      </w:pPr>
      <w:r>
        <w:rPr>
          <w:rFonts w:ascii="Garamond" w:hAnsi="Garamond"/>
          <w:color w:val="000000"/>
          <w:lang w:val="ru-RU"/>
        </w:rPr>
        <w:t> </w:t>
      </w:r>
    </w:p>
    <w:p w:rsidR="00AC2392" w:rsidRDefault="00AC2392" w:rsidP="00AC2392">
      <w:pPr>
        <w:spacing w:after="200" w:line="276" w:lineRule="auto"/>
        <w:jc w:val="both"/>
        <w:rPr>
          <w:rFonts w:ascii="Calibri" w:hAnsi="Calibri" w:cs="Calibri"/>
          <w:sz w:val="22"/>
          <w:szCs w:val="22"/>
          <w:lang w:val="ru-RU"/>
        </w:rPr>
      </w:pPr>
      <w:r>
        <w:rPr>
          <w:rFonts w:ascii="Garamond" w:hAnsi="Garamond"/>
          <w:color w:val="000000"/>
          <w:lang w:val="en-US"/>
        </w:rPr>
        <w:t xml:space="preserve">In this regard, INAPI firmly believes that the </w:t>
      </w:r>
      <w:r>
        <w:rPr>
          <w:rFonts w:ascii="Garamond" w:hAnsi="Garamond"/>
          <w:lang w:val="en-US"/>
        </w:rPr>
        <w:t xml:space="preserve">Eurasian Patent Office (EAPO) </w:t>
      </w:r>
      <w:r>
        <w:rPr>
          <w:rFonts w:ascii="Garamond" w:hAnsi="Garamond"/>
          <w:color w:val="000000"/>
          <w:lang w:val="en-US"/>
        </w:rPr>
        <w:t>complies with the minimum requirements contemplated under PCT Rules 36 and 63, especially those relating to the number of examiners, access to minimum documentation and the existence of a quality management system, which in addition to the positive evaluation made by both, the Russian Federal Services of Intellectual Property, (ROSPATENT) and the National Intellectual Property Administration of the People’s Republic of China, (CNIPA), makes INAPI trust that this new ISA/IPEA will be beneficial for the operation of the PCT system, distributing search resources and consequently providing greater alternatives to users when choosing an ISA/IPEA in their requests in English or Russian languages.</w:t>
      </w:r>
    </w:p>
    <w:p w:rsidR="00AC2392" w:rsidRDefault="00AC2392" w:rsidP="00AC2392">
      <w:pPr>
        <w:spacing w:after="200" w:line="276" w:lineRule="auto"/>
        <w:jc w:val="both"/>
        <w:rPr>
          <w:rFonts w:ascii="Calibri" w:hAnsi="Calibri" w:cs="Calibri"/>
          <w:sz w:val="22"/>
          <w:szCs w:val="22"/>
          <w:lang w:val="ru-RU"/>
        </w:rPr>
      </w:pPr>
      <w:r>
        <w:rPr>
          <w:rFonts w:ascii="Garamond" w:hAnsi="Garamond"/>
          <w:color w:val="000000"/>
          <w:lang w:val="en-US"/>
        </w:rPr>
        <w:t xml:space="preserve">A copy of this statement has been sent to </w:t>
      </w:r>
      <w:r>
        <w:rPr>
          <w:rFonts w:ascii="Garamond" w:hAnsi="Garamond"/>
          <w:lang w:val="en-US"/>
        </w:rPr>
        <w:t xml:space="preserve">Mr. Andrey Sekretov, Director, International Relations Department of EAPO (e-mail: </w:t>
      </w:r>
      <w:hyperlink r:id="rId9" w:history="1">
        <w:r>
          <w:rPr>
            <w:rStyle w:val="Hyperlink"/>
            <w:rFonts w:ascii="Garamond" w:hAnsi="Garamond"/>
            <w:lang w:val="en-US"/>
          </w:rPr>
          <w:t>ASekretov@eapo.org</w:t>
        </w:r>
      </w:hyperlink>
      <w:r>
        <w:rPr>
          <w:rFonts w:ascii="Garamond" w:hAnsi="Garamond"/>
          <w:lang w:val="en-US"/>
        </w:rPr>
        <w:t xml:space="preserve">. </w:t>
      </w:r>
    </w:p>
    <w:p w:rsidR="00AC2392" w:rsidRDefault="00AC2392" w:rsidP="00AC2392">
      <w:pPr>
        <w:spacing w:after="200" w:line="276" w:lineRule="auto"/>
        <w:jc w:val="both"/>
        <w:rPr>
          <w:rFonts w:ascii="Calibri" w:hAnsi="Calibri" w:cs="Calibri"/>
          <w:sz w:val="22"/>
          <w:szCs w:val="22"/>
          <w:lang w:val="ru-RU"/>
        </w:rPr>
      </w:pPr>
      <w:r>
        <w:rPr>
          <w:rFonts w:ascii="Garamond" w:hAnsi="Garamond"/>
          <w:lang w:val="en-US"/>
        </w:rPr>
        <w:t> </w:t>
      </w:r>
    </w:p>
    <w:p w:rsidR="00AC2392" w:rsidRDefault="00AC2392" w:rsidP="00AC2392">
      <w:pPr>
        <w:jc w:val="both"/>
        <w:rPr>
          <w:rFonts w:ascii="Calibri" w:hAnsi="Calibri" w:cs="Calibri"/>
          <w:sz w:val="22"/>
          <w:szCs w:val="22"/>
          <w:lang w:val="ru-RU"/>
        </w:rPr>
      </w:pPr>
      <w:r>
        <w:rPr>
          <w:rFonts w:ascii="Garamond" w:hAnsi="Garamond"/>
          <w:lang w:val="en-US"/>
        </w:rPr>
        <w:t>                                                                                             Loreto Bresky</w:t>
      </w:r>
    </w:p>
    <w:p w:rsidR="00AC2392" w:rsidRDefault="00AC2392" w:rsidP="00AC2392">
      <w:pPr>
        <w:jc w:val="both"/>
        <w:rPr>
          <w:rFonts w:ascii="Calibri" w:hAnsi="Calibri" w:cs="Calibri"/>
          <w:sz w:val="22"/>
          <w:szCs w:val="22"/>
          <w:lang w:val="ru-RU"/>
        </w:rPr>
      </w:pPr>
      <w:r>
        <w:rPr>
          <w:rFonts w:ascii="Garamond" w:hAnsi="Garamond"/>
          <w:lang w:val="en-US"/>
        </w:rPr>
        <w:t>                                                                                           Director General</w:t>
      </w:r>
    </w:p>
    <w:p w:rsidR="00AC2392" w:rsidRDefault="00AC2392" w:rsidP="00AC2392">
      <w:pPr>
        <w:jc w:val="both"/>
        <w:rPr>
          <w:rFonts w:ascii="Calibri" w:hAnsi="Calibri" w:cs="Calibri"/>
          <w:sz w:val="22"/>
          <w:szCs w:val="22"/>
          <w:lang w:val="ru-RU"/>
        </w:rPr>
      </w:pPr>
      <w:r>
        <w:rPr>
          <w:rFonts w:ascii="Garamond" w:hAnsi="Garamond"/>
          <w:lang w:val="en-US"/>
        </w:rPr>
        <w:t>                                                                           National Industrial Property Institute</w:t>
      </w:r>
    </w:p>
    <w:p w:rsidR="00AC2392" w:rsidRDefault="00AC2392" w:rsidP="00AC2392">
      <w:pPr>
        <w:jc w:val="both"/>
        <w:rPr>
          <w:rFonts w:ascii="Calibri" w:hAnsi="Calibri" w:cs="Calibri"/>
          <w:sz w:val="22"/>
          <w:szCs w:val="22"/>
          <w:lang w:val="ru-RU"/>
        </w:rPr>
      </w:pPr>
      <w:r>
        <w:rPr>
          <w:rFonts w:ascii="Garamond" w:hAnsi="Garamond"/>
          <w:lang w:val="en-US"/>
        </w:rPr>
        <w:t>                                                                                              INAPI-Chile</w:t>
      </w:r>
    </w:p>
    <w:p w:rsidR="00AC2392" w:rsidRDefault="00AC2392" w:rsidP="00AC2392">
      <w:pPr>
        <w:jc w:val="both"/>
        <w:rPr>
          <w:rFonts w:ascii="Calibri" w:hAnsi="Calibri" w:cs="Calibri"/>
          <w:sz w:val="22"/>
          <w:szCs w:val="22"/>
          <w:lang w:val="ru-RU"/>
        </w:rPr>
      </w:pPr>
      <w:r>
        <w:rPr>
          <w:rFonts w:ascii="Garamond" w:hAnsi="Garamond"/>
          <w:lang w:val="en-US"/>
        </w:rPr>
        <w:t> </w:t>
      </w:r>
    </w:p>
    <w:p w:rsidR="00AC2392" w:rsidRDefault="00AC2392" w:rsidP="00AC2392">
      <w:pPr>
        <w:jc w:val="both"/>
        <w:rPr>
          <w:rFonts w:ascii="Calibri" w:hAnsi="Calibri" w:cs="Calibri"/>
          <w:sz w:val="22"/>
          <w:szCs w:val="22"/>
          <w:lang w:val="ru-RU"/>
        </w:rPr>
      </w:pPr>
      <w:r>
        <w:rPr>
          <w:rFonts w:ascii="Garamond" w:hAnsi="Garamond"/>
          <w:lang w:val="en-US"/>
        </w:rPr>
        <w:t> </w:t>
      </w:r>
    </w:p>
    <w:p w:rsidR="00AC2392" w:rsidRDefault="00AC2392" w:rsidP="00AC2392">
      <w:pPr>
        <w:jc w:val="both"/>
        <w:rPr>
          <w:rFonts w:ascii="Calibri" w:hAnsi="Calibri" w:cs="Calibri"/>
          <w:sz w:val="22"/>
          <w:szCs w:val="22"/>
          <w:lang w:val="ru-RU"/>
        </w:rPr>
      </w:pPr>
      <w:r>
        <w:rPr>
          <w:rFonts w:ascii="Garamond" w:hAnsi="Garamond"/>
          <w:lang w:val="en-US"/>
        </w:rPr>
        <w:t>Santiago, Chile, May 29, 2020</w:t>
      </w:r>
    </w:p>
    <w:p w:rsidR="00AC2392" w:rsidRDefault="00AC2392" w:rsidP="00AC2392">
      <w:pPr>
        <w:rPr>
          <w:sz w:val="19"/>
          <w:szCs w:val="19"/>
          <w:lang w:val="ru-RU"/>
        </w:rPr>
      </w:pPr>
    </w:p>
    <w:p w:rsidR="000F5E56" w:rsidRPr="00AC2392" w:rsidRDefault="000F5E56" w:rsidP="00804DB7">
      <w:pPr>
        <w:rPr>
          <w:lang w:val="ru-RU"/>
        </w:rPr>
      </w:pPr>
    </w:p>
    <w:sectPr w:rsidR="000F5E56" w:rsidRPr="00AC2392" w:rsidSect="00AC2392">
      <w:headerReference w:type="even" r:id="rId10"/>
      <w:headerReference w:type="default" r:id="rId11"/>
      <w:footerReference w:type="even" r:id="rId12"/>
      <w:footerReference w:type="default" r:id="rId13"/>
      <w:headerReference w:type="first" r:id="rId14"/>
      <w:footerReference w:type="first" r:id="rId15"/>
      <w:pgSz w:w="11907" w:h="16840" w:code="9"/>
      <w:pgMar w:top="1417" w:right="1417" w:bottom="1417" w:left="1417" w:header="709" w:footer="709"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2392" w:rsidRDefault="00AC2392" w:rsidP="00AC2392">
      <w:r>
        <w:separator/>
      </w:r>
    </w:p>
  </w:endnote>
  <w:endnote w:type="continuationSeparator" w:id="0">
    <w:p w:rsidR="00AC2392" w:rsidRDefault="00AC2392" w:rsidP="00AC23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392" w:rsidRDefault="00AC2392" w:rsidP="00AC239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392" w:rsidRDefault="00AC239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392" w:rsidRDefault="00AC23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2392" w:rsidRDefault="00AC2392" w:rsidP="00AC2392">
      <w:r>
        <w:separator/>
      </w:r>
    </w:p>
  </w:footnote>
  <w:footnote w:type="continuationSeparator" w:id="0">
    <w:p w:rsidR="00AC2392" w:rsidRDefault="00AC2392" w:rsidP="00AC239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392" w:rsidRDefault="00AC2392" w:rsidP="00AC239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392" w:rsidRDefault="00AC239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392" w:rsidRDefault="00AC239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63702C00"/>
    <w:lvl w:ilvl="0">
      <w:start w:val="1"/>
      <w:numFmt w:val="upperLetter"/>
      <w:lvlRestart w:val="0"/>
      <w:lvlText w:val="%1."/>
      <w:lvlJc w:val="left"/>
      <w:pPr>
        <w:tabs>
          <w:tab w:val="num" w:pos="567"/>
        </w:tabs>
        <w:ind w:left="0" w:firstLine="0"/>
      </w:pPr>
    </w:lvl>
  </w:abstractNum>
  <w:abstractNum w:abstractNumId="1" w15:restartNumberingAfterBreak="0">
    <w:nsid w:val="177D5000"/>
    <w:multiLevelType w:val="singleLevel"/>
    <w:tmpl w:val="0409000F"/>
    <w:lvl w:ilvl="0">
      <w:start w:val="1"/>
      <w:numFmt w:val="decimal"/>
      <w:lvlText w:val="%1."/>
      <w:lvlJc w:val="left"/>
      <w:pPr>
        <w:tabs>
          <w:tab w:val="num" w:pos="360"/>
        </w:tabs>
        <w:ind w:left="360" w:hanging="360"/>
      </w:pPr>
    </w:lvl>
  </w:abstractNum>
  <w:abstractNum w:abstractNumId="2" w15:restartNumberingAfterBreak="0">
    <w:nsid w:val="444728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5E203ED3"/>
    <w:multiLevelType w:val="hybridMultilevel"/>
    <w:tmpl w:val="0100DD74"/>
    <w:lvl w:ilvl="0" w:tplc="636457FE">
      <w:start w:val="1"/>
      <w:numFmt w:val="decimal"/>
      <w:lvlRestart w:val="0"/>
      <w:pStyle w:val="ListNumber"/>
      <w:lvlText w:val="03.%1."/>
      <w:lvlJc w:val="left"/>
      <w:pPr>
        <w:tabs>
          <w:tab w:val="num" w:pos="567"/>
        </w:tabs>
        <w:ind w:left="0" w:firstLine="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6938645E"/>
    <w:multiLevelType w:val="multilevel"/>
    <w:tmpl w:val="0C9AF58C"/>
    <w:lvl w:ilvl="0">
      <w:start w:val="1"/>
      <w:numFmt w:val="decimal"/>
      <w:lvlRestart w:val="0"/>
      <w:pStyle w:val="ONUMFS"/>
      <w:lvlText w:val="%1."/>
      <w:lvlJc w:val="left"/>
      <w:pPr>
        <w:tabs>
          <w:tab w:val="num" w:pos="567"/>
        </w:tabs>
        <w:ind w:left="0" w:firstLine="0"/>
      </w:pPr>
    </w:lvl>
    <w:lvl w:ilvl="1">
      <w:start w:val="1"/>
      <w:numFmt w:val="lowerLetter"/>
      <w:lvlText w:val="%2)"/>
      <w:lvlJc w:val="left"/>
      <w:pPr>
        <w:tabs>
          <w:tab w:val="num" w:pos="1134"/>
        </w:tabs>
        <w:ind w:left="567" w:firstLine="0"/>
      </w:pPr>
    </w:lvl>
    <w:lvl w:ilvl="2">
      <w:start w:val="1"/>
      <w:numFmt w:val="lowerRoman"/>
      <w:lvlText w:val="%3)"/>
      <w:lvlJc w:val="left"/>
      <w:pPr>
        <w:tabs>
          <w:tab w:val="num" w:pos="1701"/>
        </w:tabs>
        <w:ind w:left="1134" w:firstLine="0"/>
      </w:pPr>
    </w:lvl>
    <w:lvl w:ilvl="3">
      <w:start w:val="1"/>
      <w:numFmt w:val="bullet"/>
      <w:lvlText w:val=""/>
      <w:lvlJc w:val="left"/>
      <w:pPr>
        <w:tabs>
          <w:tab w:val="num" w:pos="2268"/>
        </w:tabs>
        <w:ind w:left="1701" w:firstLine="0"/>
      </w:pPr>
    </w:lvl>
    <w:lvl w:ilvl="4">
      <w:start w:val="1"/>
      <w:numFmt w:val="bullet"/>
      <w:lvlText w:val=""/>
      <w:lvlJc w:val="left"/>
      <w:pPr>
        <w:tabs>
          <w:tab w:val="num" w:pos="2835"/>
        </w:tabs>
        <w:ind w:left="2268" w:firstLine="0"/>
      </w:pPr>
    </w:lvl>
    <w:lvl w:ilvl="5">
      <w:start w:val="1"/>
      <w:numFmt w:val="bullet"/>
      <w:lvlText w:val=""/>
      <w:lvlJc w:val="left"/>
      <w:pPr>
        <w:tabs>
          <w:tab w:val="num" w:pos="3402"/>
        </w:tabs>
        <w:ind w:left="2835" w:firstLine="0"/>
      </w:pPr>
    </w:lvl>
    <w:lvl w:ilvl="6">
      <w:start w:val="1"/>
      <w:numFmt w:val="bullet"/>
      <w:lvlText w:val=""/>
      <w:lvlJc w:val="left"/>
      <w:pPr>
        <w:tabs>
          <w:tab w:val="num" w:pos="3969"/>
        </w:tabs>
        <w:ind w:left="3402" w:firstLine="0"/>
      </w:pPr>
    </w:lvl>
    <w:lvl w:ilvl="7">
      <w:start w:val="1"/>
      <w:numFmt w:val="bullet"/>
      <w:lvlText w:val=""/>
      <w:lvlJc w:val="left"/>
      <w:pPr>
        <w:tabs>
          <w:tab w:val="num" w:pos="4535"/>
        </w:tabs>
        <w:ind w:left="3969" w:firstLine="0"/>
      </w:pPr>
    </w:lvl>
    <w:lvl w:ilvl="8">
      <w:start w:val="1"/>
      <w:numFmt w:val="bullet"/>
      <w:lvlText w:val=""/>
      <w:lvlJc w:val="left"/>
      <w:pPr>
        <w:tabs>
          <w:tab w:val="num" w:pos="5102"/>
        </w:tabs>
        <w:ind w:left="4535" w:firstLine="0"/>
      </w:pPr>
    </w:lvl>
  </w:abstractNum>
  <w:abstractNum w:abstractNumId="5" w15:restartNumberingAfterBreak="0">
    <w:nsid w:val="75D11C28"/>
    <w:multiLevelType w:val="multilevel"/>
    <w:tmpl w:val="84E6DB64"/>
    <w:lvl w:ilvl="0">
      <w:start w:val="1"/>
      <w:numFmt w:val="decimal"/>
      <w:lvlRestart w:val="0"/>
      <w:pStyle w:val="ONUME"/>
      <w:lvlText w:val="%1."/>
      <w:lvlJc w:val="left"/>
      <w:pPr>
        <w:tabs>
          <w:tab w:val="num" w:pos="567"/>
        </w:tabs>
        <w:ind w:left="0" w:firstLine="0"/>
      </w:pPr>
    </w:lvl>
    <w:lvl w:ilvl="1">
      <w:start w:val="1"/>
      <w:numFmt w:val="lowerLetter"/>
      <w:lvlText w:val="(%2)"/>
      <w:lvlJc w:val="left"/>
      <w:pPr>
        <w:tabs>
          <w:tab w:val="num" w:pos="1134"/>
        </w:tabs>
        <w:ind w:left="567" w:firstLine="0"/>
      </w:pPr>
    </w:lvl>
    <w:lvl w:ilvl="2">
      <w:start w:val="1"/>
      <w:numFmt w:val="lowerRoman"/>
      <w:lvlText w:val="(%3)"/>
      <w:lvlJc w:val="left"/>
      <w:pPr>
        <w:tabs>
          <w:tab w:val="num" w:pos="1701"/>
        </w:tabs>
        <w:ind w:left="1134" w:firstLine="0"/>
      </w:pPr>
    </w:lvl>
    <w:lvl w:ilvl="3">
      <w:start w:val="1"/>
      <w:numFmt w:val="bullet"/>
      <w:lvlText w:val=""/>
      <w:lvlJc w:val="left"/>
      <w:pPr>
        <w:tabs>
          <w:tab w:val="num" w:pos="2268"/>
        </w:tabs>
        <w:ind w:left="1701" w:firstLine="0"/>
      </w:pPr>
    </w:lvl>
    <w:lvl w:ilvl="4">
      <w:start w:val="1"/>
      <w:numFmt w:val="bullet"/>
      <w:lvlText w:val=""/>
      <w:lvlJc w:val="left"/>
      <w:pPr>
        <w:tabs>
          <w:tab w:val="num" w:pos="2835"/>
        </w:tabs>
        <w:ind w:left="2268" w:firstLine="0"/>
      </w:pPr>
    </w:lvl>
    <w:lvl w:ilvl="5">
      <w:start w:val="1"/>
      <w:numFmt w:val="bullet"/>
      <w:lvlText w:val=""/>
      <w:lvlJc w:val="left"/>
      <w:pPr>
        <w:tabs>
          <w:tab w:val="num" w:pos="3402"/>
        </w:tabs>
        <w:ind w:left="2835" w:firstLine="0"/>
      </w:pPr>
    </w:lvl>
    <w:lvl w:ilvl="6">
      <w:start w:val="1"/>
      <w:numFmt w:val="bullet"/>
      <w:lvlText w:val=""/>
      <w:lvlJc w:val="left"/>
      <w:pPr>
        <w:tabs>
          <w:tab w:val="num" w:pos="3969"/>
        </w:tabs>
        <w:ind w:left="3402" w:firstLine="0"/>
      </w:pPr>
    </w:lvl>
    <w:lvl w:ilvl="7">
      <w:start w:val="1"/>
      <w:numFmt w:val="bullet"/>
      <w:lvlText w:val=""/>
      <w:lvlJc w:val="left"/>
      <w:pPr>
        <w:tabs>
          <w:tab w:val="num" w:pos="4535"/>
        </w:tabs>
        <w:ind w:left="3969" w:firstLine="0"/>
      </w:pPr>
    </w:lvl>
    <w:lvl w:ilvl="8">
      <w:start w:val="1"/>
      <w:numFmt w:val="bullet"/>
      <w:lvlText w:val=""/>
      <w:lvlJc w:val="left"/>
      <w:pPr>
        <w:tabs>
          <w:tab w:val="num" w:pos="5102"/>
        </w:tabs>
        <w:ind w:left="4535" w:firstLine="0"/>
      </w:pPr>
    </w:lvl>
  </w:abstractNum>
  <w:num w:numId="1">
    <w:abstractNumId w:val="1"/>
  </w:num>
  <w:num w:numId="2">
    <w:abstractNumId w:val="2"/>
  </w:num>
  <w:num w:numId="3">
    <w:abstractNumId w:val="5"/>
  </w:num>
  <w:num w:numId="4">
    <w:abstractNumId w:val="4"/>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evenAndOddHeaders/>
  <w:drawingGridHorizontalSpacing w:val="11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2392"/>
    <w:rsid w:val="000F5E56"/>
    <w:rsid w:val="003E6531"/>
    <w:rsid w:val="00431118"/>
    <w:rsid w:val="007B240C"/>
    <w:rsid w:val="007D53C7"/>
    <w:rsid w:val="00804DB7"/>
    <w:rsid w:val="00AC2392"/>
    <w:rsid w:val="00C554EC"/>
    <w:rsid w:val="00D74A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chartTrackingRefBased/>
  <w15:docId w15:val="{AB3F57FF-809D-430A-A585-A7E6DB933D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C2392"/>
    <w:rPr>
      <w:rFonts w:eastAsiaTheme="minorHAnsi"/>
      <w:sz w:val="24"/>
      <w:szCs w:val="24"/>
      <w:lang w:val="fr-CH" w:eastAsia="fr-CH"/>
    </w:rPr>
  </w:style>
  <w:style w:type="paragraph" w:styleId="Heading1">
    <w:name w:val="heading 1"/>
    <w:basedOn w:val="Normal"/>
    <w:next w:val="Normal"/>
    <w:qFormat/>
    <w:rsid w:val="00804DB7"/>
    <w:pPr>
      <w:keepNext/>
      <w:spacing w:before="240" w:after="60"/>
      <w:outlineLvl w:val="0"/>
    </w:pPr>
    <w:rPr>
      <w:rFonts w:ascii="Arial" w:eastAsia="SimSun" w:hAnsi="Arial" w:cs="Arial"/>
      <w:b/>
      <w:bCs/>
      <w:caps/>
      <w:kern w:val="32"/>
      <w:sz w:val="22"/>
      <w:szCs w:val="32"/>
      <w:lang w:val="en-US" w:eastAsia="en-US"/>
    </w:rPr>
  </w:style>
  <w:style w:type="paragraph" w:styleId="Heading2">
    <w:name w:val="heading 2"/>
    <w:basedOn w:val="Normal"/>
    <w:next w:val="Normal"/>
    <w:qFormat/>
    <w:rsid w:val="00804DB7"/>
    <w:pPr>
      <w:keepNext/>
      <w:spacing w:before="240" w:after="60"/>
      <w:outlineLvl w:val="1"/>
    </w:pPr>
    <w:rPr>
      <w:rFonts w:ascii="Arial" w:eastAsia="SimSun" w:hAnsi="Arial" w:cs="Arial"/>
      <w:bCs/>
      <w:iCs/>
      <w:caps/>
      <w:sz w:val="22"/>
      <w:szCs w:val="28"/>
      <w:lang w:val="en-US" w:eastAsia="en-US"/>
    </w:rPr>
  </w:style>
  <w:style w:type="paragraph" w:styleId="Heading3">
    <w:name w:val="heading 3"/>
    <w:basedOn w:val="Normal"/>
    <w:next w:val="Normal"/>
    <w:qFormat/>
    <w:rsid w:val="00804DB7"/>
    <w:pPr>
      <w:keepNext/>
      <w:spacing w:before="240" w:after="60"/>
      <w:outlineLvl w:val="2"/>
    </w:pPr>
    <w:rPr>
      <w:rFonts w:ascii="Arial" w:eastAsia="SimSun" w:hAnsi="Arial" w:cs="Arial"/>
      <w:bCs/>
      <w:sz w:val="22"/>
      <w:szCs w:val="26"/>
      <w:u w:val="single"/>
      <w:lang w:val="en-US" w:eastAsia="en-US"/>
    </w:rPr>
  </w:style>
  <w:style w:type="paragraph" w:styleId="Heading4">
    <w:name w:val="heading 4"/>
    <w:basedOn w:val="Normal"/>
    <w:next w:val="Normal"/>
    <w:qFormat/>
    <w:rsid w:val="00804DB7"/>
    <w:pPr>
      <w:keepNext/>
      <w:spacing w:before="240" w:after="60"/>
      <w:outlineLvl w:val="3"/>
    </w:pPr>
    <w:rPr>
      <w:rFonts w:ascii="Arial" w:eastAsia="SimSun" w:hAnsi="Arial" w:cs="Arial"/>
      <w:bCs/>
      <w:i/>
      <w:sz w:val="22"/>
      <w:szCs w:val="28"/>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536"/>
        <w:tab w:val="right" w:pos="9072"/>
      </w:tabs>
    </w:pPr>
    <w:rPr>
      <w:rFonts w:ascii="Arial" w:eastAsia="Times New Roman" w:hAnsi="Arial" w:cs="Arial"/>
      <w:sz w:val="22"/>
      <w:szCs w:val="20"/>
      <w:lang w:val="en-US" w:eastAsia="en-US"/>
    </w:rPr>
  </w:style>
  <w:style w:type="paragraph" w:styleId="Footer">
    <w:name w:val="footer"/>
    <w:basedOn w:val="Normal"/>
    <w:semiHidden/>
    <w:rsid w:val="00804DB7"/>
    <w:pPr>
      <w:tabs>
        <w:tab w:val="center" w:pos="4320"/>
        <w:tab w:val="right" w:pos="8640"/>
      </w:tabs>
    </w:pPr>
    <w:rPr>
      <w:rFonts w:ascii="Arial" w:eastAsia="Times New Roman" w:hAnsi="Arial" w:cs="Arial"/>
      <w:sz w:val="22"/>
      <w:szCs w:val="20"/>
      <w:lang w:val="en-US" w:eastAsia="en-US"/>
    </w:rPr>
  </w:style>
  <w:style w:type="paragraph" w:styleId="Salutation">
    <w:name w:val="Salutation"/>
    <w:basedOn w:val="Normal"/>
    <w:next w:val="Normal"/>
    <w:semiHidden/>
    <w:rsid w:val="00804DB7"/>
    <w:rPr>
      <w:rFonts w:ascii="Arial" w:eastAsia="Times New Roman" w:hAnsi="Arial" w:cs="Arial"/>
      <w:sz w:val="22"/>
      <w:szCs w:val="20"/>
      <w:lang w:val="en-US" w:eastAsia="en-US"/>
    </w:rPr>
  </w:style>
  <w:style w:type="paragraph" w:styleId="Signature">
    <w:name w:val="Signature"/>
    <w:basedOn w:val="Normal"/>
    <w:semiHidden/>
    <w:rsid w:val="00804DB7"/>
    <w:pPr>
      <w:ind w:left="5250"/>
    </w:pPr>
    <w:rPr>
      <w:rFonts w:ascii="Arial" w:eastAsia="Times New Roman" w:hAnsi="Arial" w:cs="Arial"/>
      <w:sz w:val="22"/>
      <w:szCs w:val="20"/>
      <w:lang w:val="en-US" w:eastAsia="en-US"/>
    </w:rPr>
  </w:style>
  <w:style w:type="paragraph" w:styleId="FootnoteText">
    <w:name w:val="footnote text"/>
    <w:basedOn w:val="Normal"/>
    <w:semiHidden/>
    <w:rsid w:val="00804DB7"/>
    <w:rPr>
      <w:rFonts w:ascii="Arial" w:eastAsia="Times New Roman" w:hAnsi="Arial" w:cs="Arial"/>
      <w:sz w:val="18"/>
      <w:szCs w:val="20"/>
      <w:lang w:val="en-US" w:eastAsia="en-US"/>
    </w:rPr>
  </w:style>
  <w:style w:type="paragraph" w:styleId="EndnoteText">
    <w:name w:val="endnote text"/>
    <w:basedOn w:val="Normal"/>
    <w:semiHidden/>
    <w:rsid w:val="00804DB7"/>
    <w:rPr>
      <w:rFonts w:ascii="Arial" w:eastAsia="Times New Roman" w:hAnsi="Arial" w:cs="Arial"/>
      <w:sz w:val="18"/>
      <w:szCs w:val="20"/>
      <w:lang w:val="en-US" w:eastAsia="en-US"/>
    </w:rPr>
  </w:style>
  <w:style w:type="paragraph" w:styleId="Caption">
    <w:name w:val="caption"/>
    <w:basedOn w:val="Normal"/>
    <w:next w:val="Normal"/>
    <w:qFormat/>
    <w:rsid w:val="00804DB7"/>
    <w:rPr>
      <w:rFonts w:ascii="Arial" w:eastAsia="Times New Roman" w:hAnsi="Arial" w:cs="Arial"/>
      <w:b/>
      <w:bCs/>
      <w:sz w:val="18"/>
      <w:szCs w:val="20"/>
      <w:lang w:val="en-US" w:eastAsia="en-US"/>
    </w:rPr>
  </w:style>
  <w:style w:type="paragraph" w:styleId="CommentText">
    <w:name w:val="annotation text"/>
    <w:basedOn w:val="Normal"/>
    <w:semiHidden/>
    <w:rsid w:val="00804DB7"/>
    <w:rPr>
      <w:rFonts w:ascii="Arial" w:eastAsia="Times New Roman" w:hAnsi="Arial" w:cs="Arial"/>
      <w:sz w:val="18"/>
      <w:szCs w:val="20"/>
      <w:lang w:val="en-US" w:eastAsia="en-US"/>
    </w:rPr>
  </w:style>
  <w:style w:type="paragraph" w:styleId="BodyText">
    <w:name w:val="Body Text"/>
    <w:basedOn w:val="Normal"/>
    <w:rsid w:val="00804DB7"/>
    <w:pPr>
      <w:spacing w:after="220"/>
    </w:pPr>
    <w:rPr>
      <w:rFonts w:ascii="Arial" w:eastAsia="Times New Roman" w:hAnsi="Arial" w:cs="Arial"/>
      <w:sz w:val="22"/>
      <w:szCs w:val="20"/>
      <w:lang w:val="en-US" w:eastAsia="en-US"/>
    </w:rPr>
  </w:style>
  <w:style w:type="paragraph" w:customStyle="1" w:styleId="ONUMFS">
    <w:name w:val="ONUM FS"/>
    <w:basedOn w:val="BodyText"/>
    <w:rsid w:val="00804DB7"/>
    <w:pPr>
      <w:numPr>
        <w:numId w:val="4"/>
      </w:numPr>
    </w:pPr>
  </w:style>
  <w:style w:type="paragraph" w:customStyle="1" w:styleId="ONUME">
    <w:name w:val="ONUM E"/>
    <w:basedOn w:val="BodyText"/>
    <w:rsid w:val="00804DB7"/>
    <w:pPr>
      <w:numPr>
        <w:numId w:val="3"/>
      </w:numPr>
    </w:pPr>
  </w:style>
  <w:style w:type="paragraph" w:styleId="ListNumber">
    <w:name w:val="List Number"/>
    <w:basedOn w:val="Normal"/>
    <w:semiHidden/>
    <w:rsid w:val="00804DB7"/>
    <w:pPr>
      <w:numPr>
        <w:numId w:val="6"/>
      </w:numPr>
    </w:pPr>
    <w:rPr>
      <w:rFonts w:ascii="Arial" w:eastAsia="Times New Roman" w:hAnsi="Arial" w:cs="Arial"/>
      <w:sz w:val="22"/>
      <w:szCs w:val="20"/>
      <w:lang w:val="en-US" w:eastAsia="en-US"/>
    </w:rPr>
  </w:style>
  <w:style w:type="character" w:styleId="Hyperlink">
    <w:name w:val="Hyperlink"/>
    <w:basedOn w:val="DefaultParagraphFont"/>
    <w:uiPriority w:val="99"/>
    <w:semiHidden/>
    <w:unhideWhenUsed/>
    <w:rsid w:val="00AC239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8634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i_kasroc8k0"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ASekretov@eapo.org"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302</Words>
  <Characters>1747</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World Intellectual Property Organization</Company>
  <LinksUpToDate>false</LinksUpToDate>
  <CharactersWithSpaces>2400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Wipo Templates</dc:subject>
  <dc:creator>MARLOW Thomas</dc:creator>
  <cp:keywords>PUBLIC</cp:keywords>
  <dc:description/>
  <cp:lastModifiedBy>MARLOW Thomas</cp:lastModifiedBy>
  <cp:revision>2</cp:revision>
  <dcterms:created xsi:type="dcterms:W3CDTF">2020-06-02T07:21:00Z</dcterms:created>
  <dcterms:modified xsi:type="dcterms:W3CDTF">2020-06-02T09:05:00Z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e4e9a24a-acf1-4080-ae6c-e6f83216573c</vt:lpwstr>
  </property>
  <property fmtid="{D5CDD505-2E9C-101B-9397-08002B2CF9AE}" pid="3" name="Classification">
    <vt:lpwstr>Public</vt:lpwstr>
  </property>
  <property fmtid="{D5CDD505-2E9C-101B-9397-08002B2CF9AE}" pid="4" name="VisualMarkings">
    <vt:lpwstr>None</vt:lpwstr>
  </property>
  <property fmtid="{D5CDD505-2E9C-101B-9397-08002B2CF9AE}" pid="5" name="Alignment">
    <vt:lpwstr>Centre</vt:lpwstr>
  </property>
  <property fmtid="{D5CDD505-2E9C-101B-9397-08002B2CF9AE}" pid="6" name="Language">
    <vt:lpwstr>English</vt:lpwstr>
  </property>
</Properties>
</file>