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A1B2F" w:rsidRDefault="00FA1B2F" w:rsidP="00FA1B2F">
      <w:pPr>
        <w:pStyle w:val="NormalWeb"/>
        <w:jc w:val="both"/>
        <w:rPr>
          <w:rFonts w:ascii="Calibri" w:hAnsi="Calibri" w:cs="Calibri"/>
          <w:color w:val="000000"/>
          <w:sz w:val="22"/>
          <w:szCs w:val="22"/>
        </w:rPr>
      </w:pPr>
      <w:r>
        <w:rPr>
          <w:rFonts w:ascii="Arial" w:hAnsi="Arial" w:cs="Arial"/>
          <w:b/>
          <w:bCs/>
          <w:color w:val="000000"/>
          <w:sz w:val="22"/>
          <w:szCs w:val="22"/>
        </w:rPr>
        <w:t>Secretaría del Grupo de Trabajo del PCT</w:t>
      </w:r>
    </w:p>
    <w:p w:rsidR="00FA1B2F" w:rsidRDefault="00FA1B2F" w:rsidP="00FA1B2F">
      <w:pPr>
        <w:pStyle w:val="NormalWeb"/>
        <w:jc w:val="both"/>
        <w:rPr>
          <w:rFonts w:ascii="Calibri" w:hAnsi="Calibri" w:cs="Calibri"/>
          <w:color w:val="000000"/>
          <w:sz w:val="22"/>
          <w:szCs w:val="22"/>
        </w:rPr>
      </w:pPr>
      <w:r>
        <w:rPr>
          <w:rFonts w:ascii="Arial" w:hAnsi="Arial" w:cs="Arial"/>
          <w:b/>
          <w:bCs/>
          <w:color w:val="000000"/>
          <w:sz w:val="22"/>
          <w:szCs w:val="22"/>
        </w:rPr>
        <w:t>Comité del PCT de Cooperación Técnica</w:t>
      </w:r>
    </w:p>
    <w:p w:rsidR="00FA1B2F" w:rsidRDefault="00FA1B2F" w:rsidP="00FA1B2F">
      <w:pPr>
        <w:pStyle w:val="NormalWeb"/>
        <w:jc w:val="both"/>
        <w:rPr>
          <w:rFonts w:ascii="Calibri" w:hAnsi="Calibri" w:cs="Calibri"/>
          <w:color w:val="000000"/>
          <w:sz w:val="22"/>
          <w:szCs w:val="22"/>
        </w:rPr>
      </w:pPr>
      <w:r>
        <w:rPr>
          <w:rFonts w:ascii="Arial" w:hAnsi="Arial" w:cs="Arial"/>
          <w:b/>
          <w:bCs/>
          <w:color w:val="000000"/>
          <w:sz w:val="22"/>
          <w:szCs w:val="22"/>
        </w:rPr>
        <w:t>Organización Mundial de la Propiedad Intelectual (OMPI)</w:t>
      </w:r>
    </w:p>
    <w:p w:rsidR="00FA1B2F" w:rsidRDefault="00FA1B2F" w:rsidP="00FA1B2F">
      <w:pPr>
        <w:pStyle w:val="NormalWeb"/>
        <w:jc w:val="both"/>
        <w:rPr>
          <w:rFonts w:ascii="Calibri" w:hAnsi="Calibri" w:cs="Calibri"/>
          <w:color w:val="000000"/>
          <w:sz w:val="22"/>
          <w:szCs w:val="22"/>
        </w:rPr>
      </w:pPr>
      <w:r>
        <w:rPr>
          <w:rFonts w:ascii="Arial" w:hAnsi="Arial" w:cs="Arial"/>
          <w:color w:val="000000"/>
          <w:sz w:val="22"/>
          <w:szCs w:val="22"/>
        </w:rPr>
        <w:t> </w:t>
      </w:r>
    </w:p>
    <w:p w:rsidR="00FA1B2F" w:rsidRDefault="00FA1B2F" w:rsidP="00FA1B2F">
      <w:pPr>
        <w:pStyle w:val="NormalWeb"/>
        <w:jc w:val="both"/>
        <w:rPr>
          <w:rFonts w:ascii="Calibri" w:hAnsi="Calibri" w:cs="Calibri"/>
          <w:color w:val="000000"/>
          <w:sz w:val="22"/>
          <w:szCs w:val="22"/>
        </w:rPr>
      </w:pPr>
      <w:r>
        <w:rPr>
          <w:rFonts w:ascii="Arial" w:hAnsi="Arial" w:cs="Arial"/>
          <w:color w:val="000000"/>
          <w:sz w:val="22"/>
          <w:szCs w:val="22"/>
        </w:rPr>
        <w:t>En atención a la circular C.PCT 1598, relativa a la 13a reunión del Grupo de Trabajo del Tratado de Cooperación en materia de Patentes (PCT) y a la 31a sesión del Comité de Cooperación Técnica del PCT (el Comité), que se realizarían de manera virtual del 26 al 29 de mayo, se transmiten los siguientes comentarios del Instituto Mexicano de la Propiedad Industrial (IMPI):</w:t>
      </w:r>
    </w:p>
    <w:p w:rsidR="00FA1B2F" w:rsidRDefault="00FA1B2F" w:rsidP="00FA1B2F">
      <w:pPr>
        <w:pStyle w:val="NormalWeb"/>
        <w:jc w:val="both"/>
        <w:rPr>
          <w:rFonts w:ascii="Calibri" w:hAnsi="Calibri" w:cs="Calibri"/>
          <w:color w:val="000000"/>
          <w:sz w:val="22"/>
          <w:szCs w:val="22"/>
        </w:rPr>
      </w:pPr>
      <w:r>
        <w:rPr>
          <w:rFonts w:ascii="Calibri" w:hAnsi="Calibri" w:cs="Calibri"/>
          <w:color w:val="000000"/>
          <w:sz w:val="22"/>
          <w:szCs w:val="22"/>
        </w:rPr>
        <w:t> </w:t>
      </w:r>
    </w:p>
    <w:p w:rsidR="00FA1B2F" w:rsidRDefault="00FA1B2F" w:rsidP="00FA1B2F">
      <w:pPr>
        <w:pStyle w:val="NormalWeb"/>
        <w:jc w:val="both"/>
        <w:rPr>
          <w:rFonts w:ascii="Calibri" w:hAnsi="Calibri" w:cs="Calibri"/>
          <w:color w:val="000000"/>
          <w:sz w:val="22"/>
          <w:szCs w:val="22"/>
        </w:rPr>
      </w:pPr>
      <w:r>
        <w:rPr>
          <w:rFonts w:ascii="Arial" w:hAnsi="Arial" w:cs="Arial"/>
          <w:color w:val="000000"/>
          <w:sz w:val="22"/>
          <w:szCs w:val="22"/>
        </w:rPr>
        <w:t>Se toma nota que la Oficina Eurasiática prevé ser Administración competente para los miembros de la EAPO y se hace un llamado a que su actuar como Administración competente para otros países no se limite a la región eurasiática.</w:t>
      </w:r>
    </w:p>
    <w:p w:rsidR="00FA1B2F" w:rsidRDefault="00FA1B2F" w:rsidP="00FA1B2F">
      <w:pPr>
        <w:pStyle w:val="NormalWeb"/>
        <w:jc w:val="both"/>
        <w:rPr>
          <w:rFonts w:ascii="Calibri" w:hAnsi="Calibri" w:cs="Calibri"/>
          <w:color w:val="000000"/>
          <w:sz w:val="22"/>
          <w:szCs w:val="22"/>
        </w:rPr>
      </w:pPr>
      <w:r>
        <w:rPr>
          <w:rFonts w:ascii="Calibri" w:hAnsi="Calibri" w:cs="Calibri"/>
          <w:color w:val="000000"/>
          <w:sz w:val="22"/>
          <w:szCs w:val="22"/>
        </w:rPr>
        <w:t> </w:t>
      </w:r>
    </w:p>
    <w:p w:rsidR="00FA1B2F" w:rsidRDefault="00FA1B2F" w:rsidP="00FA1B2F">
      <w:pPr>
        <w:pStyle w:val="NormalWeb"/>
        <w:jc w:val="both"/>
        <w:rPr>
          <w:rFonts w:ascii="Calibri" w:hAnsi="Calibri" w:cs="Calibri"/>
          <w:color w:val="000000"/>
          <w:sz w:val="22"/>
          <w:szCs w:val="22"/>
        </w:rPr>
      </w:pPr>
      <w:r>
        <w:rPr>
          <w:rFonts w:ascii="Arial" w:hAnsi="Arial" w:cs="Arial"/>
          <w:color w:val="000000"/>
          <w:sz w:val="22"/>
          <w:szCs w:val="22"/>
        </w:rPr>
        <w:t>Se toma nota de las herramientas y bases de datos consultadas en las búsquedas de patentes relativas al estado de la técnica (EAPATIS, EPOQUE Net, PatSearch, PATENTSCOPE, Espacenet o Google Patents), y se precisa que el IMPI cuenta con las </w:t>
      </w:r>
      <w:r>
        <w:rPr>
          <w:rFonts w:ascii="Arial" w:hAnsi="Arial" w:cs="Arial"/>
          <w:color w:val="000000"/>
          <w:sz w:val="22"/>
          <w:szCs w:val="22"/>
          <w:u w:val="single"/>
        </w:rPr>
        <w:t>bases públicas</w:t>
      </w:r>
      <w:r>
        <w:rPr>
          <w:rFonts w:ascii="Arial" w:hAnsi="Arial" w:cs="Arial"/>
          <w:color w:val="000000"/>
          <w:sz w:val="22"/>
          <w:szCs w:val="22"/>
        </w:rPr>
        <w:t> mencionadas y los servicios pagados de EPOQUE Net y Derwent, por lo que la información encontrada en la búsqueda traería la identidad con el examen de fondo que, en su caso, se realizaría en el IMPI.</w:t>
      </w:r>
    </w:p>
    <w:p w:rsidR="00FA1B2F" w:rsidRDefault="00FA1B2F" w:rsidP="00FA1B2F">
      <w:pPr>
        <w:pStyle w:val="NormalWeb"/>
        <w:jc w:val="both"/>
        <w:rPr>
          <w:rFonts w:ascii="Calibri" w:hAnsi="Calibri" w:cs="Calibri"/>
          <w:color w:val="000000"/>
          <w:sz w:val="22"/>
          <w:szCs w:val="22"/>
        </w:rPr>
      </w:pPr>
      <w:r>
        <w:rPr>
          <w:rFonts w:ascii="Calibri" w:hAnsi="Calibri" w:cs="Calibri"/>
          <w:color w:val="000000"/>
          <w:sz w:val="22"/>
          <w:szCs w:val="22"/>
        </w:rPr>
        <w:t> </w:t>
      </w:r>
    </w:p>
    <w:p w:rsidR="00FA1B2F" w:rsidRDefault="00FA1B2F" w:rsidP="00FA1B2F">
      <w:pPr>
        <w:pStyle w:val="NormalWeb"/>
        <w:jc w:val="both"/>
        <w:rPr>
          <w:rFonts w:ascii="Calibri" w:hAnsi="Calibri" w:cs="Calibri"/>
          <w:color w:val="000000"/>
          <w:sz w:val="22"/>
          <w:szCs w:val="22"/>
        </w:rPr>
      </w:pPr>
      <w:r>
        <w:rPr>
          <w:rFonts w:ascii="Arial" w:hAnsi="Arial" w:cs="Arial"/>
          <w:color w:val="000000"/>
          <w:sz w:val="22"/>
          <w:szCs w:val="22"/>
        </w:rPr>
        <w:t>Por lo anterior, este Instituto no tiene inconveniente en emitir una opinión positiva a la consulta formulada mediante la circular C.PCT 1598, para el nombramiento de la Oficina de Patentes de Eurasia (EAPO) como Autoridad Internacional de Búsqueda y Examen Preliminar (ISA / IPEA).</w:t>
      </w:r>
    </w:p>
    <w:p w:rsidR="00FA1B2F" w:rsidRDefault="00FA1B2F" w:rsidP="00FA1B2F">
      <w:pPr>
        <w:pStyle w:val="NormalWeb"/>
        <w:jc w:val="both"/>
        <w:rPr>
          <w:rFonts w:ascii="Calibri" w:hAnsi="Calibri" w:cs="Calibri"/>
          <w:color w:val="000000"/>
          <w:sz w:val="22"/>
          <w:szCs w:val="22"/>
        </w:rPr>
      </w:pPr>
      <w:r>
        <w:rPr>
          <w:rFonts w:ascii="Calibri" w:hAnsi="Calibri" w:cs="Calibri"/>
          <w:color w:val="000000"/>
          <w:sz w:val="22"/>
          <w:szCs w:val="22"/>
        </w:rPr>
        <w:t> </w:t>
      </w:r>
    </w:p>
    <w:p w:rsidR="00FA1B2F" w:rsidRDefault="00FA1B2F" w:rsidP="00FA1B2F">
      <w:pPr>
        <w:pStyle w:val="NormalWeb"/>
        <w:rPr>
          <w:rFonts w:ascii="Calibri" w:hAnsi="Calibri" w:cs="Calibri"/>
          <w:color w:val="000000"/>
          <w:sz w:val="22"/>
          <w:szCs w:val="22"/>
        </w:rPr>
      </w:pPr>
      <w:r>
        <w:rPr>
          <w:rFonts w:ascii="Arial" w:hAnsi="Arial" w:cs="Arial"/>
          <w:color w:val="000000"/>
          <w:sz w:val="22"/>
          <w:szCs w:val="22"/>
        </w:rPr>
        <w:t>Favor de confirmar recepción por este medio.</w:t>
      </w:r>
    </w:p>
    <w:p w:rsidR="00FA1B2F" w:rsidRDefault="00FA1B2F" w:rsidP="00FA1B2F">
      <w:pPr>
        <w:pStyle w:val="NormalWeb"/>
        <w:rPr>
          <w:rFonts w:ascii="Calibri" w:hAnsi="Calibri" w:cs="Calibri"/>
          <w:color w:val="000000"/>
          <w:sz w:val="22"/>
          <w:szCs w:val="22"/>
        </w:rPr>
      </w:pPr>
      <w:r>
        <w:rPr>
          <w:rFonts w:ascii="Arial" w:hAnsi="Arial" w:cs="Arial"/>
          <w:color w:val="000000"/>
          <w:sz w:val="22"/>
          <w:szCs w:val="22"/>
        </w:rPr>
        <w:t> </w:t>
      </w:r>
    </w:p>
    <w:p w:rsidR="00FA1B2F" w:rsidRDefault="00FA1B2F" w:rsidP="00FA1B2F">
      <w:pPr>
        <w:pStyle w:val="NormalWeb"/>
        <w:rPr>
          <w:rFonts w:ascii="Calibri" w:hAnsi="Calibri" w:cs="Calibri"/>
          <w:color w:val="000000"/>
          <w:sz w:val="22"/>
          <w:szCs w:val="22"/>
        </w:rPr>
      </w:pPr>
      <w:r>
        <w:rPr>
          <w:rFonts w:ascii="Arial" w:hAnsi="Arial" w:cs="Arial"/>
          <w:color w:val="000000"/>
          <w:sz w:val="22"/>
          <w:szCs w:val="22"/>
        </w:rPr>
        <w:t>Atentamente</w:t>
      </w:r>
    </w:p>
    <w:p w:rsidR="00FA1B2F" w:rsidRDefault="00FA1B2F" w:rsidP="00FA1B2F">
      <w:pPr>
        <w:pStyle w:val="NormalWeb"/>
        <w:rPr>
          <w:rFonts w:ascii="Calibri" w:hAnsi="Calibri" w:cs="Calibri"/>
          <w:color w:val="000000"/>
          <w:sz w:val="22"/>
          <w:szCs w:val="22"/>
        </w:rPr>
      </w:pPr>
      <w:r>
        <w:rPr>
          <w:rFonts w:ascii="Arial" w:hAnsi="Arial" w:cs="Arial"/>
          <w:color w:val="000000"/>
          <w:sz w:val="22"/>
          <w:szCs w:val="22"/>
        </w:rPr>
        <w:t> </w:t>
      </w:r>
    </w:p>
    <w:p w:rsidR="00FA1B2F" w:rsidRDefault="00FA1B2F" w:rsidP="00FA1B2F">
      <w:pPr>
        <w:pStyle w:val="NormalWeb"/>
        <w:rPr>
          <w:rFonts w:ascii="Arial" w:hAnsi="Arial" w:cs="Arial"/>
          <w:color w:val="000000"/>
          <w:sz w:val="22"/>
          <w:szCs w:val="22"/>
        </w:rPr>
      </w:pPr>
      <w:r>
        <w:rPr>
          <w:rFonts w:ascii="Arial" w:hAnsi="Arial" w:cs="Arial"/>
          <w:color w:val="000000"/>
          <w:sz w:val="22"/>
          <w:szCs w:val="22"/>
        </w:rPr>
        <w:t>Direcci</w:t>
      </w:r>
      <w:r>
        <w:rPr>
          <w:rFonts w:ascii="Arial" w:hAnsi="Arial" w:cs="Arial"/>
          <w:color w:val="000000"/>
          <w:sz w:val="22"/>
          <w:szCs w:val="22"/>
        </w:rPr>
        <w:t>ó</w:t>
      </w:r>
      <w:r>
        <w:rPr>
          <w:rFonts w:ascii="Arial" w:hAnsi="Arial" w:cs="Arial"/>
          <w:color w:val="000000"/>
          <w:sz w:val="22"/>
          <w:szCs w:val="22"/>
        </w:rPr>
        <w:t>n Divisional de Relaciones Internacionales (DDRI)</w:t>
      </w:r>
    </w:p>
    <w:p w:rsidR="00FA1B2F" w:rsidRPr="00FA1B2F" w:rsidRDefault="00FA1B2F" w:rsidP="00FA1B2F">
      <w:pPr>
        <w:pStyle w:val="NormalWeb"/>
        <w:rPr>
          <w:rFonts w:ascii="Arial" w:hAnsi="Arial" w:cs="Arial"/>
          <w:color w:val="000000"/>
          <w:sz w:val="22"/>
          <w:szCs w:val="22"/>
        </w:rPr>
      </w:pPr>
      <w:r>
        <w:rPr>
          <w:rFonts w:ascii="Arial" w:hAnsi="Arial" w:cs="Arial"/>
          <w:color w:val="000000"/>
          <w:sz w:val="22"/>
          <w:szCs w:val="22"/>
        </w:rPr>
        <w:t>Instituto Mexicano de la Propiedad Industrial (IMPI)</w:t>
      </w:r>
      <w:bookmarkStart w:id="0" w:name="_GoBack"/>
      <w:bookmarkEnd w:id="0"/>
    </w:p>
    <w:p w:rsidR="000F5E56" w:rsidRPr="00FA1B2F" w:rsidRDefault="000F5E56" w:rsidP="00804DB7">
      <w:pPr>
        <w:rPr>
          <w:lang w:val="fr-CH"/>
        </w:rPr>
      </w:pPr>
    </w:p>
    <w:sectPr w:rsidR="000F5E56" w:rsidRPr="00FA1B2F" w:rsidSect="00FA1B2F">
      <w:headerReference w:type="even" r:id="rId7"/>
      <w:headerReference w:type="default" r:id="rId8"/>
      <w:footerReference w:type="even" r:id="rId9"/>
      <w:footerReference w:type="default" r:id="rId10"/>
      <w:headerReference w:type="first" r:id="rId11"/>
      <w:footerReference w:type="first" r:id="rId12"/>
      <w:pgSz w:w="11907" w:h="16840" w:code="9"/>
      <w:pgMar w:top="1417" w:right="1417" w:bottom="1417" w:left="1417" w:header="709" w:footer="709"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A1B2F" w:rsidRDefault="00FA1B2F" w:rsidP="00FA1B2F">
      <w:r>
        <w:separator/>
      </w:r>
    </w:p>
  </w:endnote>
  <w:endnote w:type="continuationSeparator" w:id="0">
    <w:p w:rsidR="00FA1B2F" w:rsidRDefault="00FA1B2F" w:rsidP="00FA1B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rsidP="00FA1B2F">
    <w:pPr>
      <w:pStyle w:val="Footer"/>
    </w:pPr>
    <w:r>
      <w:rPr>
        <w:noProof/>
        <w:lang w:val="fr-CH" w:eastAsia="fr-CH"/>
      </w:rPr>
      <mc:AlternateContent>
        <mc:Choice Requires="wps">
          <w:drawing>
            <wp:anchor distT="558800" distB="0" distL="114300" distR="114300" simplePos="0" relativeHeight="251661312" behindDoc="0" locked="0" layoutInCell="0" allowOverlap="1">
              <wp:simplePos x="0" y="0"/>
              <wp:positionH relativeFrom="margin">
                <wp:align>center</wp:align>
              </wp:positionH>
              <wp:positionV relativeFrom="bottomMargin">
                <wp:posOffset>558800</wp:posOffset>
              </wp:positionV>
              <wp:extent cx="7620000" cy="317500"/>
              <wp:effectExtent l="0" t="0" r="0" b="6350"/>
              <wp:wrapNone/>
              <wp:docPr id="3" name="TITUSE1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00" cy="3175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FA1B2F" w:rsidRDefault="00FA1B2F" w:rsidP="00FA1B2F">
                          <w:pPr>
                            <w:jc w:val="center"/>
                          </w:pPr>
                          <w:r w:rsidRPr="00FA1B2F">
                            <w:rPr>
                              <w:color w:val="000000"/>
                              <w:sz w:val="17"/>
                            </w:rPr>
                            <w:t>WIPO FOR OFFICIAL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ITUSE1footer" o:spid="_x0000_s1026" type="#_x0000_t202" style="position:absolute;margin-left:0;margin-top:44pt;width:600pt;height:25pt;z-index:251661312;visibility:visible;mso-wrap-style:square;mso-wrap-distance-left:9pt;mso-wrap-distance-top:44pt;mso-wrap-distance-right:9pt;mso-wrap-distance-bottom:0;mso-position-horizontal:center;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" o:allowincell="f" filled="f" stroked="f" strokeweight=".5pt">
              <v:fill o:detectmouseclick="t"/>
              <v:path arrowok="t"/>
              <v:textbox>
                <w:txbxContent>
                  <w:p w:rsidR="00FA1B2F" w:rsidRDefault="00FA1B2F" w:rsidP="00FA1B2F">
                    <w:pPr>
                      <w:jc w:val="center"/>
                    </w:pPr>
                    <w:r w:rsidRPr="00FA1B2F">
                      <w:rPr>
                        <w:color w:val="000000"/>
                        <w:sz w:val="17"/>
                      </w:rPr>
                      <w:t>WIPO FOR OFFICIAL USE ONLY</w:t>
                    </w:r>
                  </w:p>
                </w:txbxContent>
              </v:textbox>
              <w10:wrap anchorx="margin" anchory="margin"/>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pPr>
      <w:pStyle w:val="Footer"/>
    </w:pPr>
    <w:r>
      <w:rPr>
        <w:noProof/>
        <w:lang w:val="fr-CH" w:eastAsia="fr-CH"/>
      </w:rPr>
      <mc:AlternateContent>
        <mc:Choice Requires="wps">
          <w:drawing>
            <wp:anchor distT="558800" distB="0" distL="114300" distR="114300" simplePos="0" relativeHeight="251660288" behindDoc="0" locked="0" layoutInCell="0" allowOverlap="1">
              <wp:simplePos x="0" y="0"/>
              <wp:positionH relativeFrom="margin">
                <wp:align>center</wp:align>
              </wp:positionH>
              <wp:positionV relativeFrom="bottomMargin">
                <wp:posOffset>558800</wp:posOffset>
              </wp:positionV>
              <wp:extent cx="7620000" cy="317500"/>
              <wp:effectExtent l="0" t="0" r="0" b="6350"/>
              <wp:wrapNone/>
              <wp:docPr id="2" name="TITUSO1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00" cy="3175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FA1B2F" w:rsidRDefault="00FA1B2F" w:rsidP="00FA1B2F">
                          <w:pPr>
                            <w:jc w:val="center"/>
                          </w:pPr>
                          <w:r w:rsidRPr="00FA1B2F">
                            <w:rPr>
                              <w:color w:val="000000"/>
                              <w:sz w:val="17"/>
                            </w:rPr>
                            <w:t>WIPO FOR OFFICIAL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ITUSO1footer" o:spid="_x0000_s1027" type="#_x0000_t202" style="position:absolute;margin-left:0;margin-top:44pt;width:600pt;height:25pt;z-index:251660288;visibility:visible;mso-wrap-style:square;mso-wrap-distance-left:9pt;mso-wrap-distance-top:44pt;mso-wrap-distance-right:9pt;mso-wrap-distance-bottom:0;mso-position-horizontal:center;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" o:allowincell="f" filled="f" stroked="f" strokeweight=".5pt">
              <v:fill o:detectmouseclick="t"/>
              <v:path arrowok="t"/>
              <v:textbox>
                <w:txbxContent>
                  <w:p w:rsidR="00FA1B2F" w:rsidRDefault="00FA1B2F" w:rsidP="00FA1B2F">
                    <w:pPr>
                      <w:jc w:val="center"/>
                    </w:pPr>
                    <w:r w:rsidRPr="00FA1B2F">
                      <w:rPr>
                        <w:color w:val="000000"/>
                        <w:sz w:val="17"/>
                      </w:rPr>
                      <w:t>WIPO FOR OFFICIAL USE ONLY</w:t>
                    </w:r>
                  </w:p>
                </w:txbxContent>
              </v:textbox>
              <w10:wrap anchorx="margin" anchory="margin"/>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A1B2F" w:rsidRDefault="00FA1B2F" w:rsidP="00FA1B2F">
      <w:r>
        <w:separator/>
      </w:r>
    </w:p>
  </w:footnote>
  <w:footnote w:type="continuationSeparator" w:id="0">
    <w:p w:rsidR="00FA1B2F" w:rsidRDefault="00FA1B2F" w:rsidP="00FA1B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rsidP="00FA1B2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A1B2F" w:rsidRDefault="00FA1B2F">
    <w:pPr>
      <w:pStyle w:val="Header"/>
    </w:pPr>
    <w:r>
      <w:rPr>
        <w:noProof/>
        <w:lang w:val="fr-CH" w:eastAsia="fr-CH"/>
      </w:rPr>
      <mc:AlternateContent>
        <mc:Choice Requires="wps">
          <w:drawing>
            <wp:anchor distT="558800" distB="0" distL="114300" distR="114300" simplePos="0" relativeHeight="251659264" behindDoc="0" locked="0" layoutInCell="0" allowOverlap="1">
              <wp:simplePos x="0" y="0"/>
              <wp:positionH relativeFrom="margin">
                <wp:align>center</wp:align>
              </wp:positionH>
              <wp:positionV relativeFrom="bottomMargin">
                <wp:posOffset>558800</wp:posOffset>
              </wp:positionV>
              <wp:extent cx="7620000" cy="317500"/>
              <wp:effectExtent l="0" t="0" r="0" b="6350"/>
              <wp:wrapNone/>
              <wp:docPr id="1" name="TITUSF1foote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620000" cy="3175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rsidR="00FA1B2F" w:rsidRDefault="00FA1B2F" w:rsidP="00FA1B2F">
                          <w:pPr>
                            <w:jc w:val="center"/>
                          </w:pPr>
                          <w:r w:rsidRPr="00FA1B2F">
                            <w:rPr>
                              <w:color w:val="000000"/>
                              <w:sz w:val="17"/>
                            </w:rPr>
                            <w:t>WIPO FOR OFFICIAL USE ONLY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TITUSF1footer" o:spid="_x0000_s1028" type="#_x0000_t202" style="position:absolute;margin-left:0;margin-top:44pt;width:600pt;height:25pt;z-index:251659264;visibility:visible;mso-wrap-style:square;mso-wrap-distance-left:9pt;mso-wrap-distance-top:44pt;mso-wrap-distance-right:9pt;mso-wrap-distance-bottom:0;mso-position-horizontal:center;mso-position-horizontal-relative:margin;mso-position-vertical:absolute;mso-position-vertical-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" o:allowincell="f" filled="f" stroked="f" strokeweight=".5pt">
              <v:fill o:detectmouseclick="t"/>
              <v:path arrowok="t"/>
              <v:textbox>
                <w:txbxContent>
                  <w:p w:rsidR="00FA1B2F" w:rsidRDefault="00FA1B2F" w:rsidP="00FA1B2F">
                    <w:pPr>
                      <w:jc w:val="center"/>
                    </w:pPr>
                    <w:r w:rsidRPr="00FA1B2F">
                      <w:rPr>
                        <w:color w:val="000000"/>
                        <w:sz w:val="17"/>
                      </w:rPr>
                      <w:t>WIPO FOR OFFICIAL USE ONLY</w:t>
                    </w:r>
                  </w:p>
                </w:txbxContent>
              </v:textbox>
              <w10:wrap anchorx="margin" anchory="margin"/>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63702C00"/>
    <w:lvl w:ilvl="0">
      <w:start w:val="1"/>
      <w:numFmt w:val="upperLetter"/>
      <w:lvlRestart w:val="0"/>
      <w:lvlText w:val="%1."/>
      <w:lvlJc w:val="left"/>
      <w:pPr>
        <w:tabs>
          <w:tab w:val="num" w:pos="567"/>
        </w:tabs>
        <w:ind w:left="0" w:firstLine="0"/>
      </w:pPr>
    </w:lvl>
  </w:abstractNum>
  <w:abstractNum w:abstractNumId="1" w15:restartNumberingAfterBreak="0">
    <w:nsid w:val="177D5000"/>
    <w:multiLevelType w:val="singleLevel"/>
    <w:tmpl w:val="0409000F"/>
    <w:lvl w:ilvl="0">
      <w:start w:val="1"/>
      <w:numFmt w:val="decimal"/>
      <w:lvlText w:val="%1."/>
      <w:lvlJc w:val="left"/>
      <w:pPr>
        <w:tabs>
          <w:tab w:val="num" w:pos="360"/>
        </w:tabs>
        <w:ind w:left="360" w:hanging="360"/>
      </w:pPr>
    </w:lvl>
  </w:abstractNum>
  <w:abstractNum w:abstractNumId="2" w15:restartNumberingAfterBreak="0">
    <w:nsid w:val="44472868"/>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5E203ED3"/>
    <w:multiLevelType w:val="hybridMultilevel"/>
    <w:tmpl w:val="0100DD74"/>
    <w:lvl w:ilvl="0" w:tplc="636457FE">
      <w:start w:val="1"/>
      <w:numFmt w:val="decimal"/>
      <w:lvlRestart w:val="0"/>
      <w:pStyle w:val="ListNumber"/>
      <w:lvlText w:val="03.%1."/>
      <w:lvlJc w:val="left"/>
      <w:pPr>
        <w:tabs>
          <w:tab w:val="num" w:pos="567"/>
        </w:tabs>
        <w:ind w:left="0" w:firstLine="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938645E"/>
    <w:multiLevelType w:val="multilevel"/>
    <w:tmpl w:val="0C9AF58C"/>
    <w:lvl w:ilvl="0">
      <w:start w:val="1"/>
      <w:numFmt w:val="decimal"/>
      <w:lvlRestart w:val="0"/>
      <w:pStyle w:val="ONUMFS"/>
      <w:lvlText w:val="%1."/>
      <w:lvlJc w:val="left"/>
      <w:pPr>
        <w:tabs>
          <w:tab w:val="num" w:pos="567"/>
        </w:tabs>
        <w:ind w:left="0" w:firstLine="0"/>
      </w:pPr>
    </w:lvl>
    <w:lvl w:ilvl="1">
      <w:start w:val="1"/>
      <w:numFmt w:val="lowerLetter"/>
      <w:lvlText w:val="%2)"/>
      <w:lvlJc w:val="left"/>
      <w:pPr>
        <w:tabs>
          <w:tab w:val="num" w:pos="1134"/>
        </w:tabs>
        <w:ind w:left="567" w:firstLine="0"/>
      </w:pPr>
    </w:lvl>
    <w:lvl w:ilvl="2">
      <w:start w:val="1"/>
      <w:numFmt w:val="lowerRoman"/>
      <w:lvlText w:val="%3)"/>
      <w:lvlJc w:val="left"/>
      <w:pPr>
        <w:tabs>
          <w:tab w:val="num" w:pos="1701"/>
        </w:tabs>
        <w:ind w:left="1134" w:firstLine="0"/>
      </w:pPr>
    </w:lvl>
    <w:lvl w:ilvl="3">
      <w:start w:val="1"/>
      <w:numFmt w:val="bullet"/>
      <w:lvlText w:val=""/>
      <w:lvlJc w:val="left"/>
      <w:pPr>
        <w:tabs>
          <w:tab w:val="num" w:pos="2268"/>
        </w:tabs>
        <w:ind w:left="1701" w:firstLine="0"/>
      </w:pPr>
    </w:lvl>
    <w:lvl w:ilvl="4">
      <w:start w:val="1"/>
      <w:numFmt w:val="bullet"/>
      <w:lvlText w:val=""/>
      <w:lvlJc w:val="left"/>
      <w:pPr>
        <w:tabs>
          <w:tab w:val="num" w:pos="2835"/>
        </w:tabs>
        <w:ind w:left="2268" w:firstLine="0"/>
      </w:pPr>
    </w:lvl>
    <w:lvl w:ilvl="5">
      <w:start w:val="1"/>
      <w:numFmt w:val="bullet"/>
      <w:lvlText w:val=""/>
      <w:lvlJc w:val="left"/>
      <w:pPr>
        <w:tabs>
          <w:tab w:val="num" w:pos="3402"/>
        </w:tabs>
        <w:ind w:left="2835" w:firstLine="0"/>
      </w:pPr>
    </w:lvl>
    <w:lvl w:ilvl="6">
      <w:start w:val="1"/>
      <w:numFmt w:val="bullet"/>
      <w:lvlText w:val=""/>
      <w:lvlJc w:val="left"/>
      <w:pPr>
        <w:tabs>
          <w:tab w:val="num" w:pos="3969"/>
        </w:tabs>
        <w:ind w:left="3402" w:firstLine="0"/>
      </w:pPr>
    </w:lvl>
    <w:lvl w:ilvl="7">
      <w:start w:val="1"/>
      <w:numFmt w:val="bullet"/>
      <w:lvlText w:val=""/>
      <w:lvlJc w:val="left"/>
      <w:pPr>
        <w:tabs>
          <w:tab w:val="num" w:pos="4535"/>
        </w:tabs>
        <w:ind w:left="3969" w:firstLine="0"/>
      </w:pPr>
    </w:lvl>
    <w:lvl w:ilvl="8">
      <w:start w:val="1"/>
      <w:numFmt w:val="bullet"/>
      <w:lvlText w:val=""/>
      <w:lvlJc w:val="left"/>
      <w:pPr>
        <w:tabs>
          <w:tab w:val="num" w:pos="5102"/>
        </w:tabs>
        <w:ind w:left="4535" w:firstLine="0"/>
      </w:pPr>
    </w:lvl>
  </w:abstractNum>
  <w:abstractNum w:abstractNumId="5" w15:restartNumberingAfterBreak="0">
    <w:nsid w:val="75D11C28"/>
    <w:multiLevelType w:val="multilevel"/>
    <w:tmpl w:val="84E6DB64"/>
    <w:lvl w:ilvl="0">
      <w:start w:val="1"/>
      <w:numFmt w:val="decimal"/>
      <w:lvlRestart w:val="0"/>
      <w:pStyle w:val="ONUME"/>
      <w:lvlText w:val="%1."/>
      <w:lvlJc w:val="left"/>
      <w:pPr>
        <w:tabs>
          <w:tab w:val="num" w:pos="567"/>
        </w:tabs>
        <w:ind w:left="0" w:firstLine="0"/>
      </w:pPr>
    </w:lvl>
    <w:lvl w:ilvl="1">
      <w:start w:val="1"/>
      <w:numFmt w:val="lowerLetter"/>
      <w:lvlText w:val="(%2)"/>
      <w:lvlJc w:val="left"/>
      <w:pPr>
        <w:tabs>
          <w:tab w:val="num" w:pos="1134"/>
        </w:tabs>
        <w:ind w:left="567" w:firstLine="0"/>
      </w:pPr>
    </w:lvl>
    <w:lvl w:ilvl="2">
      <w:start w:val="1"/>
      <w:numFmt w:val="lowerRoman"/>
      <w:lvlText w:val="(%3)"/>
      <w:lvlJc w:val="left"/>
      <w:pPr>
        <w:tabs>
          <w:tab w:val="num" w:pos="1701"/>
        </w:tabs>
        <w:ind w:left="1134" w:firstLine="0"/>
      </w:pPr>
    </w:lvl>
    <w:lvl w:ilvl="3">
      <w:start w:val="1"/>
      <w:numFmt w:val="bullet"/>
      <w:lvlText w:val=""/>
      <w:lvlJc w:val="left"/>
      <w:pPr>
        <w:tabs>
          <w:tab w:val="num" w:pos="2268"/>
        </w:tabs>
        <w:ind w:left="1701" w:firstLine="0"/>
      </w:pPr>
    </w:lvl>
    <w:lvl w:ilvl="4">
      <w:start w:val="1"/>
      <w:numFmt w:val="bullet"/>
      <w:lvlText w:val=""/>
      <w:lvlJc w:val="left"/>
      <w:pPr>
        <w:tabs>
          <w:tab w:val="num" w:pos="2835"/>
        </w:tabs>
        <w:ind w:left="2268" w:firstLine="0"/>
      </w:pPr>
    </w:lvl>
    <w:lvl w:ilvl="5">
      <w:start w:val="1"/>
      <w:numFmt w:val="bullet"/>
      <w:lvlText w:val=""/>
      <w:lvlJc w:val="left"/>
      <w:pPr>
        <w:tabs>
          <w:tab w:val="num" w:pos="3402"/>
        </w:tabs>
        <w:ind w:left="2835" w:firstLine="0"/>
      </w:pPr>
    </w:lvl>
    <w:lvl w:ilvl="6">
      <w:start w:val="1"/>
      <w:numFmt w:val="bullet"/>
      <w:lvlText w:val=""/>
      <w:lvlJc w:val="left"/>
      <w:pPr>
        <w:tabs>
          <w:tab w:val="num" w:pos="3969"/>
        </w:tabs>
        <w:ind w:left="3402" w:firstLine="0"/>
      </w:pPr>
    </w:lvl>
    <w:lvl w:ilvl="7">
      <w:start w:val="1"/>
      <w:numFmt w:val="bullet"/>
      <w:lvlText w:val=""/>
      <w:lvlJc w:val="left"/>
      <w:pPr>
        <w:tabs>
          <w:tab w:val="num" w:pos="4535"/>
        </w:tabs>
        <w:ind w:left="3969" w:firstLine="0"/>
      </w:pPr>
    </w:lvl>
    <w:lvl w:ilvl="8">
      <w:start w:val="1"/>
      <w:numFmt w:val="bullet"/>
      <w:lvlText w:val=""/>
      <w:lvlJc w:val="left"/>
      <w:pPr>
        <w:tabs>
          <w:tab w:val="num" w:pos="5102"/>
        </w:tabs>
        <w:ind w:left="4535" w:firstLine="0"/>
      </w:pPr>
    </w:lvl>
  </w:abstractNum>
  <w:num w:numId="1">
    <w:abstractNumId w:val="1"/>
  </w:num>
  <w:num w:numId="2">
    <w:abstractNumId w:val="2"/>
  </w:num>
  <w:num w:numId="3">
    <w:abstractNumId w:val="5"/>
  </w:num>
  <w:num w:numId="4">
    <w:abstractNumId w:val="4"/>
  </w:num>
  <w:num w:numId="5">
    <w:abstractNumId w:val="0"/>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evenAndOddHeaders/>
  <w:drawingGridHorizontalSpacing w:val="11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A1B2F"/>
    <w:rsid w:val="000F5E56"/>
    <w:rsid w:val="003E6531"/>
    <w:rsid w:val="00431118"/>
    <w:rsid w:val="007B240C"/>
    <w:rsid w:val="007D53C7"/>
    <w:rsid w:val="00804DB7"/>
    <w:rsid w:val="00C554EC"/>
    <w:rsid w:val="00FA1B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2FF8360"/>
  <w15:chartTrackingRefBased/>
  <w15:docId w15:val="{DD492083-8911-4773-A14F-3AEC842702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w:hAnsi="Arial" w:cs="Arial"/>
      <w:sz w:val="22"/>
    </w:rPr>
  </w:style>
  <w:style w:type="paragraph" w:styleId="Heading1">
    <w:name w:val="heading 1"/>
    <w:basedOn w:val="Normal"/>
    <w:next w:val="Normal"/>
    <w:qFormat/>
    <w:rsid w:val="00804DB7"/>
    <w:pPr>
      <w:keepNext/>
      <w:spacing w:before="240" w:after="60"/>
      <w:outlineLvl w:val="0"/>
    </w:pPr>
    <w:rPr>
      <w:rFonts w:eastAsia="SimSun"/>
      <w:b/>
      <w:bCs/>
      <w:caps/>
      <w:kern w:val="32"/>
      <w:szCs w:val="32"/>
    </w:rPr>
  </w:style>
  <w:style w:type="paragraph" w:styleId="Heading2">
    <w:name w:val="heading 2"/>
    <w:basedOn w:val="Normal"/>
    <w:next w:val="Normal"/>
    <w:qFormat/>
    <w:rsid w:val="00804DB7"/>
    <w:pPr>
      <w:keepNext/>
      <w:spacing w:before="240" w:after="60"/>
      <w:outlineLvl w:val="1"/>
    </w:pPr>
    <w:rPr>
      <w:rFonts w:eastAsia="SimSun"/>
      <w:bCs/>
      <w:iCs/>
      <w:caps/>
      <w:szCs w:val="28"/>
    </w:rPr>
  </w:style>
  <w:style w:type="paragraph" w:styleId="Heading3">
    <w:name w:val="heading 3"/>
    <w:basedOn w:val="Normal"/>
    <w:next w:val="Normal"/>
    <w:qFormat/>
    <w:rsid w:val="00804DB7"/>
    <w:pPr>
      <w:keepNext/>
      <w:spacing w:before="240" w:after="60"/>
      <w:outlineLvl w:val="2"/>
    </w:pPr>
    <w:rPr>
      <w:rFonts w:eastAsia="SimSun"/>
      <w:bCs/>
      <w:szCs w:val="26"/>
      <w:u w:val="single"/>
    </w:rPr>
  </w:style>
  <w:style w:type="paragraph" w:styleId="Heading4">
    <w:name w:val="heading 4"/>
    <w:basedOn w:val="Normal"/>
    <w:next w:val="Normal"/>
    <w:qFormat/>
    <w:rsid w:val="00804DB7"/>
    <w:pPr>
      <w:keepNext/>
      <w:spacing w:before="240" w:after="60"/>
      <w:outlineLvl w:val="3"/>
    </w:pPr>
    <w:rPr>
      <w:rFonts w:eastAsia="SimSun"/>
      <w:bCs/>
      <w:i/>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pPr>
      <w:tabs>
        <w:tab w:val="center" w:pos="4536"/>
        <w:tab w:val="right" w:pos="9072"/>
      </w:tabs>
    </w:pPr>
  </w:style>
  <w:style w:type="paragraph" w:styleId="Footer">
    <w:name w:val="footer"/>
    <w:basedOn w:val="Normal"/>
    <w:semiHidden/>
    <w:rsid w:val="00804DB7"/>
    <w:pPr>
      <w:tabs>
        <w:tab w:val="center" w:pos="4320"/>
        <w:tab w:val="right" w:pos="8640"/>
      </w:tabs>
    </w:pPr>
  </w:style>
  <w:style w:type="paragraph" w:styleId="Salutation">
    <w:name w:val="Salutation"/>
    <w:basedOn w:val="Normal"/>
    <w:next w:val="Normal"/>
    <w:semiHidden/>
    <w:rsid w:val="00804DB7"/>
  </w:style>
  <w:style w:type="paragraph" w:styleId="Signature">
    <w:name w:val="Signature"/>
    <w:basedOn w:val="Normal"/>
    <w:semiHidden/>
    <w:rsid w:val="00804DB7"/>
    <w:pPr>
      <w:ind w:left="5250"/>
    </w:pPr>
  </w:style>
  <w:style w:type="paragraph" w:styleId="FootnoteText">
    <w:name w:val="footnote text"/>
    <w:basedOn w:val="Normal"/>
    <w:semiHidden/>
    <w:rsid w:val="00804DB7"/>
    <w:rPr>
      <w:sz w:val="18"/>
    </w:rPr>
  </w:style>
  <w:style w:type="paragraph" w:styleId="EndnoteText">
    <w:name w:val="endnote text"/>
    <w:basedOn w:val="Normal"/>
    <w:semiHidden/>
    <w:rsid w:val="00804DB7"/>
    <w:rPr>
      <w:sz w:val="18"/>
    </w:rPr>
  </w:style>
  <w:style w:type="paragraph" w:styleId="Caption">
    <w:name w:val="caption"/>
    <w:basedOn w:val="Normal"/>
    <w:next w:val="Normal"/>
    <w:qFormat/>
    <w:rsid w:val="00804DB7"/>
    <w:rPr>
      <w:b/>
      <w:bCs/>
      <w:sz w:val="18"/>
    </w:rPr>
  </w:style>
  <w:style w:type="paragraph" w:styleId="CommentText">
    <w:name w:val="annotation text"/>
    <w:basedOn w:val="Normal"/>
    <w:semiHidden/>
    <w:rsid w:val="00804DB7"/>
    <w:rPr>
      <w:sz w:val="18"/>
    </w:rPr>
  </w:style>
  <w:style w:type="paragraph" w:styleId="BodyText">
    <w:name w:val="Body Text"/>
    <w:basedOn w:val="Normal"/>
    <w:rsid w:val="00804DB7"/>
    <w:pPr>
      <w:spacing w:after="220"/>
    </w:pPr>
  </w:style>
  <w:style w:type="paragraph" w:customStyle="1" w:styleId="ONUMFS">
    <w:name w:val="ONUM FS"/>
    <w:basedOn w:val="BodyText"/>
    <w:rsid w:val="00804DB7"/>
    <w:pPr>
      <w:numPr>
        <w:numId w:val="4"/>
      </w:numPr>
    </w:pPr>
  </w:style>
  <w:style w:type="paragraph" w:customStyle="1" w:styleId="ONUME">
    <w:name w:val="ONUM E"/>
    <w:basedOn w:val="BodyText"/>
    <w:rsid w:val="00804DB7"/>
    <w:pPr>
      <w:numPr>
        <w:numId w:val="3"/>
      </w:numPr>
    </w:pPr>
  </w:style>
  <w:style w:type="paragraph" w:styleId="ListNumber">
    <w:name w:val="List Number"/>
    <w:basedOn w:val="Normal"/>
    <w:semiHidden/>
    <w:rsid w:val="00804DB7"/>
    <w:pPr>
      <w:numPr>
        <w:numId w:val="6"/>
      </w:numPr>
    </w:pPr>
  </w:style>
  <w:style w:type="paragraph" w:styleId="NormalWeb">
    <w:name w:val="Normal (Web)"/>
    <w:basedOn w:val="Normal"/>
    <w:uiPriority w:val="99"/>
    <w:semiHidden/>
    <w:unhideWhenUsed/>
    <w:rsid w:val="00FA1B2F"/>
    <w:rPr>
      <w:rFonts w:ascii="Times New Roman" w:eastAsiaTheme="minorHAnsi" w:hAnsi="Times New Roman" w:cs="Times New Roman"/>
      <w:sz w:val="24"/>
      <w:szCs w:val="24"/>
      <w:lang w:val="fr-CH" w:eastAsia="fr-CH"/>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0963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266</Words>
  <Characters>1375</Characters>
  <Application>Microsoft Office Word</Application>
  <DocSecurity>0</DocSecurity>
  <Lines>32</Lines>
  <Paragraphs>11</Paragraphs>
  <ScaleCrop>false</ScaleCrop>
  <HeadingPairs>
    <vt:vector size="2" baseType="variant">
      <vt:variant>
        <vt:lpstr>Title</vt:lpstr>
      </vt:variant>
      <vt:variant>
        <vt:i4>1</vt:i4>
      </vt:variant>
    </vt:vector>
  </HeadingPairs>
  <TitlesOfParts>
    <vt:vector size="1" baseType="lpstr">
      <vt:lpstr/>
    </vt:vector>
  </TitlesOfParts>
  <Company>World Intellectual Property Organization</Company>
  <LinksUpToDate>false</LinksUpToDate>
  <CharactersWithSpaces>1637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Wipo Templates</dc:subject>
  <dc:creator>MARLOW Thomas</dc:creator>
  <cp:keywords>FOR OFFICIAL USE ONLY</cp:keywords>
  <dc:description/>
  <cp:lastModifiedBy>MARLOW Thomas</cp:lastModifiedBy>
  <cp:revision>1</cp:revision>
  <dcterms:created xsi:type="dcterms:W3CDTF">2020-06-12T14:11:00Z</dcterms:created>
  <dcterms:modified xsi:type="dcterms:W3CDTF">2020-06-12T14:15:00Z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1a72cb38-8e24-472a-b1a9-8bda796a4b2b</vt:lpwstr>
  </property>
  <property fmtid="{D5CDD505-2E9C-101B-9397-08002B2CF9AE}" pid="3" name="Classification">
    <vt:lpwstr>For Official Use Only</vt:lpwstr>
  </property>
  <property fmtid="{D5CDD505-2E9C-101B-9397-08002B2CF9AE}" pid="4" name="VisualMarkings">
    <vt:lpwstr>Footer</vt:lpwstr>
  </property>
  <property fmtid="{D5CDD505-2E9C-101B-9397-08002B2CF9AE}" pid="5" name="Alignment">
    <vt:lpwstr>Centre</vt:lpwstr>
  </property>
  <property fmtid="{D5CDD505-2E9C-101B-9397-08002B2CF9AE}" pid="6" name="Language">
    <vt:lpwstr>English</vt:lpwstr>
  </property>
</Properties>
</file>